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订单结算中心改版完整PRD文档（最终交付版）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0" w:id="0"/>
      <w:r>
        <w:rPr>
          <w:rFonts w:eastAsia="等线" w:ascii="Arial" w:cs="Arial" w:hAnsi="Arial"/>
          <w:b w:val="true"/>
          <w:sz w:val="32"/>
        </w:rPr>
        <w:t>1 需求背景</w:t>
      </w:r>
      <w:bookmarkEnd w:id="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原有结算相关数据分散在多个页面，订单金额、税费、平台扣点、物流、退款、处罚数据混杂，对账链路混乱、导出数据维度不统一、运营与商家口径未隔离。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本次改版</w:t>
      </w:r>
      <w:r>
        <w:rPr>
          <w:rFonts w:eastAsia="等线" w:ascii="Arial" w:cs="Arial" w:hAnsi="Arial"/>
          <w:b w:val="true"/>
          <w:sz w:val="22"/>
        </w:rPr>
        <w:t>彻底重构结算页面结构、统一账务聚合、拆分明细模块、新增结算汇总总览、标准化多 Sheet 导出、拆分运营菜单口径</w:t>
      </w:r>
      <w:r>
        <w:rPr>
          <w:rFonts w:eastAsia="等线" w:ascii="Arial" w:cs="Arial" w:hAnsi="Arial"/>
          <w:sz w:val="22"/>
        </w:rPr>
        <w:t>，实现：汇总总览统一、明细模块独立、账务数据闭环、对账输出标准化。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" w:id="1"/>
      <w:r>
        <w:rPr>
          <w:rFonts w:eastAsia="等线" w:ascii="Arial" w:cs="Arial" w:hAnsi="Arial"/>
          <w:b w:val="true"/>
          <w:sz w:val="32"/>
        </w:rPr>
        <w:t>2 整体菜单结构（最终排序）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归属【结算管理】模块子菜单，从上至下顺序：</w:t>
      </w:r>
    </w:p>
    <w:p>
      <w:pPr>
        <w:numPr>
          <w:numId w:val="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结算中心（</w:t>
      </w:r>
      <w:r>
        <w:rPr>
          <w:rFonts w:eastAsia="等线" w:ascii="Arial" w:cs="Arial" w:hAnsi="Arial"/>
          <w:b w:val="true"/>
          <w:sz w:val="22"/>
        </w:rPr>
        <w:t>新增・汇总总览页</w:t>
      </w:r>
      <w:r>
        <w:rPr>
          <w:rFonts w:eastAsia="等线" w:ascii="Arial" w:cs="Arial" w:hAnsi="Arial"/>
          <w:sz w:val="22"/>
        </w:rPr>
        <w:t>）</w:t>
      </w:r>
    </w:p>
    <w:p>
      <w:pPr>
        <w:numPr>
          <w:numId w:val="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订单结算中心（合并：订单金额、税费、平台扣点）</w:t>
      </w:r>
    </w:p>
    <w:p>
      <w:pPr>
        <w:numPr>
          <w:numId w:val="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运单管理（独立页面）</w:t>
      </w:r>
    </w:p>
    <w:p>
      <w:pPr>
        <w:numPr>
          <w:numId w:val="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往期已结算订单退款（独立页面）</w:t>
      </w:r>
    </w:p>
    <w:p>
      <w:pPr>
        <w:numPr>
          <w:numId w:val="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平台处罚明细（独立页面）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同时完成功能迁移：</w:t>
      </w:r>
    </w:p>
    <w:p>
      <w:pPr>
        <w:numPr>
          <w:numId w:val="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市场口径订单筛选</w:t>
      </w:r>
      <w:r>
        <w:rPr>
          <w:rFonts w:eastAsia="等线" w:ascii="Arial" w:cs="Arial" w:hAnsi="Arial"/>
          <w:sz w:val="22"/>
        </w:rPr>
        <w:t>：从结算模块移出，放置至【运营中心】作为独立菜单，与商家结算数据完全隔离。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" w:id="2"/>
      <w:r>
        <w:rPr>
          <w:rFonts w:eastAsia="等线" w:ascii="Arial" w:cs="Arial" w:hAnsi="Arial"/>
          <w:b w:val="true"/>
          <w:sz w:val="32"/>
        </w:rPr>
        <w:t>3 页面结构拆分规则（核心逻辑）</w:t>
      </w:r>
      <w:bookmarkEnd w:id="2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3" w:id="3"/>
      <w:r>
        <w:rPr>
          <w:rFonts w:eastAsia="等线" w:ascii="Arial" w:cs="Arial" w:hAnsi="Arial"/>
          <w:b w:val="true"/>
          <w:sz w:val="30"/>
        </w:rPr>
        <w:t>3.1 结算中心（汇总首页・顶层总览）</w:t>
      </w:r>
      <w:bookmarkEnd w:id="3"/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4" w:id="4"/>
      <w:r>
        <w:rPr>
          <w:rFonts w:eastAsia="等线" w:ascii="Arial" w:cs="Arial" w:hAnsi="Arial"/>
          <w:b w:val="true"/>
          <w:sz w:val="28"/>
        </w:rPr>
        <w:t>3.1.1 页面定位</w:t>
      </w:r>
      <w:bookmarkEnd w:id="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纯</w:t>
      </w:r>
      <w:r>
        <w:rPr>
          <w:rFonts w:eastAsia="等线" w:ascii="Arial" w:cs="Arial" w:hAnsi="Arial"/>
          <w:b w:val="true"/>
          <w:sz w:val="22"/>
        </w:rPr>
        <w:t>合计汇总页面，不展示任何订单明细、不展示单行明细数据</w:t>
      </w:r>
      <w:r>
        <w:rPr>
          <w:rFonts w:eastAsia="等线" w:ascii="Arial" w:cs="Arial" w:hAnsi="Arial"/>
          <w:sz w:val="22"/>
        </w:rPr>
        <w:t>。</w:t>
        <w:br/>
      </w:r>
      <w:r>
        <w:rPr>
          <w:rFonts w:eastAsia="等线" w:ascii="Arial" w:cs="Arial" w:hAnsi="Arial"/>
          <w:sz w:val="22"/>
        </w:rPr>
        <w:t>以「结算期」为单位，一期一行汇总数据。</w:t>
      </w:r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5" w:id="5"/>
      <w:r>
        <w:rPr>
          <w:rFonts w:eastAsia="等线" w:ascii="Arial" w:cs="Arial" w:hAnsi="Arial"/>
          <w:b w:val="true"/>
          <w:sz w:val="28"/>
        </w:rPr>
        <w:t>3.1.2 页面展示字段（单条结算期数据）</w:t>
      </w:r>
      <w:bookmarkEnd w:id="5"/>
    </w:p>
    <w:p>
      <w:pPr>
        <w:numPr>
          <w:numId w:val="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结算期次</w:t>
      </w:r>
    </w:p>
    <w:p>
      <w:pPr>
        <w:numPr>
          <w:numId w:val="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当期结算订单数（总计）</w:t>
      </w:r>
    </w:p>
    <w:p>
      <w:pPr>
        <w:numPr>
          <w:numId w:val="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订单金额总计</w:t>
      </w:r>
    </w:p>
    <w:p>
      <w:pPr>
        <w:numPr>
          <w:numId w:val="1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物流费用总计</w:t>
      </w:r>
    </w:p>
    <w:p>
      <w:pPr>
        <w:numPr>
          <w:numId w:val="1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平台扣点总计</w:t>
      </w:r>
    </w:p>
    <w:p>
      <w:pPr>
        <w:numPr>
          <w:numId w:val="1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税费总计</w:t>
      </w:r>
    </w:p>
    <w:p>
      <w:pPr>
        <w:numPr>
          <w:numId w:val="1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往期已结算订单退款（本期扣减合计）</w:t>
      </w:r>
    </w:p>
    <w:p>
      <w:pPr>
        <w:numPr>
          <w:numId w:val="1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平台处罚金额总计</w:t>
      </w:r>
    </w:p>
    <w:p>
      <w:pPr>
        <w:numPr>
          <w:numId w:val="1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账单状态（未确认 / 已确认）</w:t>
      </w:r>
    </w:p>
    <w:p>
      <w:pPr>
        <w:numPr>
          <w:numId w:val="1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操作列（卖家确认、导出）</w:t>
      </w:r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6" w:id="6"/>
      <w:r>
        <w:rPr>
          <w:rFonts w:eastAsia="等线" w:ascii="Arial" w:cs="Arial" w:hAnsi="Arial"/>
          <w:b w:val="true"/>
          <w:sz w:val="28"/>
        </w:rPr>
        <w:t>3.1.3 操作按钮逻辑</w:t>
      </w:r>
      <w:bookmarkEnd w:id="6"/>
    </w:p>
    <w:p>
      <w:pPr>
        <w:numPr>
          <w:numId w:val="1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卖家确认按钮</w:t>
      </w:r>
    </w:p>
    <w:p>
      <w:pPr>
        <w:numPr>
          <w:numId w:val="1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单期独立确认</w:t>
      </w:r>
    </w:p>
    <w:p>
      <w:pPr>
        <w:numPr>
          <w:numId w:val="1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确认后状态固化为「已确认」</w:t>
      </w:r>
    </w:p>
    <w:p>
      <w:pPr>
        <w:numPr>
          <w:numId w:val="2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记录操作人、操作时间</w:t>
      </w:r>
    </w:p>
    <w:p>
      <w:pPr>
        <w:numPr>
          <w:numId w:val="2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已确认状态不可二次修改清空</w:t>
      </w:r>
    </w:p>
    <w:p>
      <w:pPr>
        <w:numPr>
          <w:numId w:val="2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导出按钮</w:t>
      </w:r>
    </w:p>
    <w:p>
      <w:pPr>
        <w:numPr>
          <w:numId w:val="2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仅导出</w:t>
      </w:r>
      <w:r>
        <w:rPr>
          <w:rFonts w:eastAsia="等线" w:ascii="Arial" w:cs="Arial" w:hAnsi="Arial"/>
          <w:b w:val="true"/>
          <w:sz w:val="22"/>
        </w:rPr>
        <w:t>当前本条结算期</w:t>
      </w:r>
      <w:r>
        <w:rPr>
          <w:rFonts w:eastAsia="等线" w:ascii="Arial" w:cs="Arial" w:hAnsi="Arial"/>
          <w:sz w:val="22"/>
        </w:rPr>
        <w:t>的全套数据</w:t>
      </w:r>
    </w:p>
    <w:p>
      <w:pPr>
        <w:numPr>
          <w:numId w:val="2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一次性导出完整多 Sheet Excel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7" w:id="7"/>
      <w:r>
        <w:rPr>
          <w:rFonts w:eastAsia="等线" w:ascii="Arial" w:cs="Arial" w:hAnsi="Arial"/>
          <w:b w:val="true"/>
          <w:sz w:val="30"/>
        </w:rPr>
        <w:t>3.2 订单结算中心（核心账务聚合页）</w:t>
      </w:r>
      <w:bookmarkEnd w:id="7"/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8" w:id="8"/>
      <w:r>
        <w:rPr>
          <w:rFonts w:eastAsia="等线" w:ascii="Arial" w:cs="Arial" w:hAnsi="Arial"/>
          <w:b w:val="true"/>
          <w:sz w:val="28"/>
        </w:rPr>
        <w:t>3.2.1 页面定位</w:t>
      </w:r>
      <w:bookmarkEnd w:id="8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合并原有分散三项核心账务数据：</w:t>
        <w:br/>
      </w:r>
      <w:r>
        <w:rPr>
          <w:rFonts w:eastAsia="等线" w:ascii="Arial" w:cs="Arial" w:hAnsi="Arial"/>
          <w:b w:val="true"/>
          <w:sz w:val="22"/>
        </w:rPr>
        <w:t>订单金额 + 平台扣点 + 税费</w:t>
      </w:r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9" w:id="9"/>
      <w:r>
        <w:rPr>
          <w:rFonts w:eastAsia="等线" w:ascii="Arial" w:cs="Arial" w:hAnsi="Arial"/>
          <w:b w:val="true"/>
          <w:sz w:val="28"/>
        </w:rPr>
        <w:t>3.2.2 页面展示明细维度</w:t>
      </w:r>
      <w:bookmarkEnd w:id="9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以单订单为粒度展示明细：</w:t>
      </w:r>
    </w:p>
    <w:p>
      <w:pPr>
        <w:numPr>
          <w:numId w:val="2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订单基本信息（订单号、下单时间、结算期）</w:t>
      </w:r>
    </w:p>
    <w:p>
      <w:pPr>
        <w:numPr>
          <w:numId w:val="2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订单成交金额</w:t>
      </w:r>
    </w:p>
    <w:p>
      <w:pPr>
        <w:numPr>
          <w:numId w:val="2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平台扣点明细、扣点金额</w:t>
      </w:r>
    </w:p>
    <w:p>
      <w:pPr>
        <w:numPr>
          <w:numId w:val="2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订单产生税费明细、税费金额</w:t>
      </w:r>
    </w:p>
    <w:p>
      <w:pPr>
        <w:numPr>
          <w:numId w:val="2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订单结算状态</w:t>
      </w:r>
    </w:p>
    <w:tbl>
      <w:tblPr>
        <w:tblW w:w="0" w:type="auto"/>
        <w:tblInd w:w="0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  <w:tblLayout w:type="fixed"/>
      </w:tblPr>
      <w:tblGrid>
        <w:gridCol w:w="8280"/>
      </w:tblGrid>
      <w:tr>
        <w:tc>
          <w:tcPr>
            <w:tcW w:w="8280" w:type="dxa"/>
            <w:tcBorders>
              <w:top w:val="nil"/>
              <w:left w:sz="18" w:val="single" w:color="BBBFC4"/>
              <w:bottom w:val="nil"/>
              <w:right w:val="nil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color w:val="646a73"/>
                <w:sz w:val="22"/>
              </w:rPr>
              <w:t>本页面</w:t>
            </w:r>
            <w:r>
              <w:rPr>
                <w:rFonts w:eastAsia="等线" w:ascii="Arial" w:cs="Arial" w:hAnsi="Arial"/>
                <w:b w:val="true"/>
                <w:color w:val="646a73"/>
                <w:sz w:val="22"/>
              </w:rPr>
              <w:t>不展示运单、不展示退款、不展示处罚</w:t>
            </w:r>
            <w:r>
              <w:rPr>
                <w:rFonts w:eastAsia="等线" w:ascii="Arial" w:cs="Arial" w:hAnsi="Arial"/>
                <w:color w:val="646a73"/>
                <w:sz w:val="22"/>
              </w:rPr>
              <w:t>，纯订单结算账务明细。</w:t>
            </w:r>
          </w:p>
        </w:tc>
      </w:tr>
    </w:tbl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0" w:id="10"/>
      <w:r>
        <w:rPr>
          <w:rFonts w:eastAsia="等线" w:ascii="Arial" w:cs="Arial" w:hAnsi="Arial"/>
          <w:b w:val="true"/>
          <w:sz w:val="30"/>
        </w:rPr>
        <w:t>3.3 运单管理（独立页面）</w:t>
      </w:r>
      <w:bookmarkEnd w:id="1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仅展示物流运单数据，与账务解耦：</w:t>
      </w:r>
    </w:p>
    <w:p>
      <w:pPr>
        <w:numPr>
          <w:numId w:val="3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运单号</w:t>
      </w:r>
    </w:p>
    <w:p>
      <w:pPr>
        <w:numPr>
          <w:numId w:val="3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关联订单号</w:t>
      </w:r>
    </w:p>
    <w:p>
      <w:pPr>
        <w:numPr>
          <w:numId w:val="3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物流状态</w:t>
      </w:r>
    </w:p>
    <w:p>
      <w:pPr>
        <w:numPr>
          <w:numId w:val="3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发货 / 签收时间</w:t>
      </w:r>
    </w:p>
    <w:p>
      <w:pPr>
        <w:numPr>
          <w:numId w:val="3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物流费用</w:t>
      </w:r>
    </w:p>
    <w:p>
      <w:pPr>
        <w:numPr>
          <w:numId w:val="3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归属结算期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1" w:id="11"/>
      <w:r>
        <w:rPr>
          <w:rFonts w:eastAsia="等线" w:ascii="Arial" w:cs="Arial" w:hAnsi="Arial"/>
          <w:b w:val="true"/>
          <w:sz w:val="30"/>
        </w:rPr>
        <w:t>3.4 往期已结算订单退款（独立页面）</w:t>
      </w:r>
      <w:bookmarkEnd w:id="11"/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12" w:id="12"/>
      <w:r>
        <w:rPr>
          <w:rFonts w:eastAsia="等线" w:ascii="Arial" w:cs="Arial" w:hAnsi="Arial"/>
          <w:b w:val="true"/>
          <w:sz w:val="28"/>
        </w:rPr>
        <w:t>3.4.1 数据口径（强约束）</w:t>
      </w:r>
      <w:bookmarkEnd w:id="12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只展示：往期已经结算完成的订单，在本期结算产生的扣减退款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当期未结算订单退款不进入此台账、不参与汇总扣减。</w:t>
      </w:r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13" w:id="13"/>
      <w:r>
        <w:rPr>
          <w:rFonts w:eastAsia="等线" w:ascii="Arial" w:cs="Arial" w:hAnsi="Arial"/>
          <w:b w:val="true"/>
          <w:sz w:val="28"/>
        </w:rPr>
        <w:t>3.4.2 展示字段</w:t>
      </w:r>
      <w:bookmarkEnd w:id="13"/>
    </w:p>
    <w:p>
      <w:pPr>
        <w:numPr>
          <w:numId w:val="3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原结算期次</w:t>
      </w:r>
    </w:p>
    <w:p>
      <w:pPr>
        <w:numPr>
          <w:numId w:val="3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退款订单号</w:t>
      </w:r>
    </w:p>
    <w:p>
      <w:pPr>
        <w:numPr>
          <w:numId w:val="3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退款金额</w:t>
      </w:r>
    </w:p>
    <w:p>
      <w:pPr>
        <w:numPr>
          <w:numId w:val="3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扣减生效结算期</w:t>
      </w:r>
    </w:p>
    <w:p>
      <w:pPr>
        <w:numPr>
          <w:numId w:val="4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退款原因、退款状态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4" w:id="14"/>
      <w:r>
        <w:rPr>
          <w:rFonts w:eastAsia="等线" w:ascii="Arial" w:cs="Arial" w:hAnsi="Arial"/>
          <w:b w:val="true"/>
          <w:sz w:val="30"/>
        </w:rPr>
        <w:t>3.5 平台处罚明细（独立页面）</w:t>
      </w:r>
      <w:bookmarkEnd w:id="1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独立台账展示每期处罚成本：</w:t>
      </w:r>
    </w:p>
    <w:p>
      <w:pPr>
        <w:numPr>
          <w:numId w:val="4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处罚单号</w:t>
      </w:r>
    </w:p>
    <w:p>
      <w:pPr>
        <w:numPr>
          <w:numId w:val="4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关联订单号（可为空）</w:t>
      </w:r>
    </w:p>
    <w:p>
      <w:pPr>
        <w:numPr>
          <w:numId w:val="4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处罚原因</w:t>
      </w:r>
    </w:p>
    <w:p>
      <w:pPr>
        <w:numPr>
          <w:numId w:val="4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处罚金额</w:t>
      </w:r>
    </w:p>
    <w:p>
      <w:pPr>
        <w:numPr>
          <w:numId w:val="4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处罚生效期次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5" w:id="15"/>
      <w:r>
        <w:rPr>
          <w:rFonts w:eastAsia="等线" w:ascii="Arial" w:cs="Arial" w:hAnsi="Arial"/>
          <w:b w:val="true"/>
          <w:sz w:val="32"/>
        </w:rPr>
        <w:t>4 Excel 导出规则（最终标准・五 Sheet 固定模板）</w:t>
      </w:r>
      <w:bookmarkEnd w:id="15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点击单期【导出】按钮，自动生成 Excel 文件，</w:t>
      </w:r>
      <w:r>
        <w:rPr>
          <w:rFonts w:eastAsia="等线" w:ascii="Arial" w:cs="Arial" w:hAnsi="Arial"/>
          <w:b w:val="true"/>
          <w:sz w:val="22"/>
        </w:rPr>
        <w:t>固定 5 个 Sheet，缺一不可</w:t>
      </w:r>
      <w:r>
        <w:rPr>
          <w:rFonts w:eastAsia="等线" w:ascii="Arial" w:cs="Arial" w:hAnsi="Arial"/>
          <w:sz w:val="22"/>
        </w:rPr>
        <w:t>：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6" w:id="16"/>
      <w:r>
        <w:rPr>
          <w:rFonts w:eastAsia="等线" w:ascii="Arial" w:cs="Arial" w:hAnsi="Arial"/>
          <w:b w:val="true"/>
          <w:sz w:val="30"/>
        </w:rPr>
        <w:t>Sheet1：结算汇总（合计数据）</w:t>
      </w:r>
      <w:bookmarkEnd w:id="16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当期全部汇总字段，作为对账首页总览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7" w:id="17"/>
      <w:r>
        <w:rPr>
          <w:rFonts w:eastAsia="等线" w:ascii="Arial" w:cs="Arial" w:hAnsi="Arial"/>
          <w:b w:val="true"/>
          <w:sz w:val="30"/>
        </w:rPr>
        <w:t>Sheet2：订单详情</w:t>
      </w:r>
      <w:bookmarkEnd w:id="17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包含：订单信息、订单金额、平台扣点、税费全部明细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8" w:id="18"/>
      <w:r>
        <w:rPr>
          <w:rFonts w:eastAsia="等线" w:ascii="Arial" w:cs="Arial" w:hAnsi="Arial"/>
          <w:b w:val="true"/>
          <w:sz w:val="30"/>
        </w:rPr>
        <w:t>Sheet3：物流费用明细</w:t>
      </w:r>
      <w:bookmarkEnd w:id="18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当期所有运单、对应物流费用明细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9" w:id="19"/>
      <w:r>
        <w:rPr>
          <w:rFonts w:eastAsia="等线" w:ascii="Arial" w:cs="Arial" w:hAnsi="Arial"/>
          <w:b w:val="true"/>
          <w:sz w:val="30"/>
        </w:rPr>
        <w:t>Sheet4：往期已结算订单退款明细</w:t>
      </w:r>
      <w:bookmarkEnd w:id="19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本期生效扣减的历史退款明细清单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20" w:id="20"/>
      <w:r>
        <w:rPr>
          <w:rFonts w:eastAsia="等线" w:ascii="Arial" w:cs="Arial" w:hAnsi="Arial"/>
          <w:b w:val="true"/>
          <w:sz w:val="30"/>
        </w:rPr>
        <w:t>Sheet5：平台处罚明细</w:t>
      </w:r>
      <w:bookmarkEnd w:id="2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当期所有处罚明细清单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21" w:id="21"/>
      <w:r>
        <w:rPr>
          <w:rFonts w:eastAsia="等线" w:ascii="Arial" w:cs="Arial" w:hAnsi="Arial"/>
          <w:b w:val="true"/>
          <w:sz w:val="30"/>
        </w:rPr>
        <w:t>导出通用规范</w:t>
      </w:r>
      <w:bookmarkEnd w:id="21"/>
    </w:p>
    <w:p>
      <w:pPr>
        <w:numPr>
          <w:numId w:val="4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导出范围严格锁定</w:t>
      </w:r>
      <w:r>
        <w:rPr>
          <w:rFonts w:eastAsia="等线" w:ascii="Arial" w:cs="Arial" w:hAnsi="Arial"/>
          <w:b w:val="true"/>
          <w:sz w:val="22"/>
        </w:rPr>
        <w:t>当前选中结算期</w:t>
      </w:r>
      <w:r>
        <w:rPr>
          <w:rFonts w:eastAsia="等线" w:ascii="Arial" w:cs="Arial" w:hAnsi="Arial"/>
          <w:sz w:val="22"/>
        </w:rPr>
        <w:t>，不混期、不跨期</w:t>
      </w:r>
    </w:p>
    <w:p>
      <w:pPr>
        <w:numPr>
          <w:numId w:val="4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金额统一保留 2 位小数</w:t>
      </w:r>
    </w:p>
    <w:p>
      <w:pPr>
        <w:numPr>
          <w:numId w:val="4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文件命名规则：【结算期次】结算账单_导出时间</w:t>
      </w:r>
    </w:p>
    <w:p>
      <w:pPr>
        <w:numPr>
          <w:numId w:val="4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所有 Sheet 列宽自适应、表头固定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2" w:id="22"/>
      <w:r>
        <w:rPr>
          <w:rFonts w:eastAsia="等线" w:ascii="Arial" w:cs="Arial" w:hAnsi="Arial"/>
          <w:b w:val="true"/>
          <w:sz w:val="32"/>
        </w:rPr>
        <w:t>5 市场口径订单筛选（运营中心独立菜单）</w:t>
      </w:r>
      <w:bookmarkEnd w:id="22"/>
    </w:p>
    <w:p>
      <w:pPr>
        <w:numPr>
          <w:numId w:val="5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功能完全移出结算模块</w:t>
      </w:r>
    </w:p>
    <w:p>
      <w:pPr>
        <w:numPr>
          <w:numId w:val="5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放置在【运营中心】独立子菜单</w:t>
      </w:r>
    </w:p>
    <w:p>
      <w:pPr>
        <w:numPr>
          <w:numId w:val="5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口径为</w:t>
      </w:r>
      <w:r>
        <w:rPr>
          <w:rFonts w:eastAsia="等线" w:ascii="Arial" w:cs="Arial" w:hAnsi="Arial"/>
          <w:b w:val="true"/>
          <w:sz w:val="22"/>
        </w:rPr>
        <w:t>市场成交统计口径</w:t>
      </w:r>
      <w:r>
        <w:rPr>
          <w:rFonts w:eastAsia="等线" w:ascii="Arial" w:cs="Arial" w:hAnsi="Arial"/>
          <w:sz w:val="22"/>
        </w:rPr>
        <w:t>，用于运营数据分析</w:t>
      </w:r>
    </w:p>
    <w:p>
      <w:pPr>
        <w:numPr>
          <w:numId w:val="5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只展示订单市场维度数据，</w:t>
      </w:r>
      <w:r>
        <w:rPr>
          <w:rFonts w:eastAsia="等线" w:ascii="Arial" w:cs="Arial" w:hAnsi="Arial"/>
          <w:b w:val="true"/>
          <w:sz w:val="22"/>
        </w:rPr>
        <w:t>不包含扣点、税费、退款、处罚账务数据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3" w:id="23"/>
      <w:r>
        <w:rPr>
          <w:rFonts w:eastAsia="等线" w:ascii="Arial" w:cs="Arial" w:hAnsi="Arial"/>
          <w:b w:val="true"/>
          <w:sz w:val="32"/>
        </w:rPr>
        <w:t>6 核心数据口径约束</w:t>
      </w:r>
      <w:bookmarkEnd w:id="23"/>
    </w:p>
    <w:p>
      <w:pPr>
        <w:numPr>
          <w:numId w:val="5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退款扣减：仅统计「</w:t>
      </w:r>
      <w:r>
        <w:rPr>
          <w:rFonts w:eastAsia="等线" w:ascii="Arial" w:cs="Arial" w:hAnsi="Arial"/>
          <w:b w:val="true"/>
          <w:sz w:val="22"/>
        </w:rPr>
        <w:t>往期已结算完成订单</w:t>
      </w:r>
      <w:r>
        <w:rPr>
          <w:rFonts w:eastAsia="等线" w:ascii="Arial" w:cs="Arial" w:hAnsi="Arial"/>
          <w:sz w:val="22"/>
        </w:rPr>
        <w:t>」的本期扣减，当期新订单退款不计入</w:t>
      </w:r>
    </w:p>
    <w:p>
      <w:pPr>
        <w:numPr>
          <w:numId w:val="5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汇总页全部金额为</w:t>
      </w:r>
      <w:r>
        <w:rPr>
          <w:rFonts w:eastAsia="等线" w:ascii="Arial" w:cs="Arial" w:hAnsi="Arial"/>
          <w:b w:val="true"/>
          <w:sz w:val="22"/>
        </w:rPr>
        <w:t>当期结算生效合计值</w:t>
      </w:r>
    </w:p>
    <w:p>
      <w:pPr>
        <w:numPr>
          <w:numId w:val="5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所有明细页面与汇总页面数据同源、金额对账一致</w:t>
      </w:r>
    </w:p>
    <w:p>
      <w:pPr>
        <w:numPr>
          <w:numId w:val="5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卖家确认状态为账单最终确认态，用于界定对账完成节点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4" w:id="24"/>
      <w:r>
        <w:rPr>
          <w:rFonts w:eastAsia="等线" w:ascii="Arial" w:cs="Arial" w:hAnsi="Arial"/>
          <w:b w:val="true"/>
          <w:sz w:val="32"/>
        </w:rPr>
        <w:t>7 权限与状态说明</w:t>
      </w:r>
      <w:bookmarkEnd w:id="24"/>
    </w:p>
    <w:p>
      <w:pPr>
        <w:numPr>
          <w:numId w:val="5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结算中心汇总、导出、卖家确认：仅商家账号可见可操作</w:t>
      </w:r>
    </w:p>
    <w:p>
      <w:pPr>
        <w:numPr>
          <w:numId w:val="5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运营中心市场筛选：仅运营角色使用</w:t>
      </w:r>
    </w:p>
    <w:p>
      <w:pPr>
        <w:numPr>
          <w:numId w:val="6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历史存量数据自动按期次聚合、兼容新页面结构</w:t>
      </w:r>
    </w:p>
    <w:p>
      <w:pPr>
        <w:numPr>
          <w:numId w:val="6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历史账单默认状态：已确认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5" w:id="25"/>
      <w:r>
        <w:rPr>
          <w:rFonts w:eastAsia="等线" w:ascii="Arial" w:cs="Arial" w:hAnsi="Arial"/>
          <w:b w:val="true"/>
          <w:sz w:val="32"/>
        </w:rPr>
        <w:t>8 改版前后差异总结</w:t>
      </w:r>
      <w:bookmarkEnd w:id="25"/>
    </w:p>
    <w:p>
      <w:pPr>
        <w:numPr>
          <w:numId w:val="6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新增顶层结算汇总总览页，实现一期一账单一汇总</w:t>
      </w:r>
    </w:p>
    <w:p>
      <w:pPr>
        <w:numPr>
          <w:numId w:val="6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订单金额、税费、平台扣点统一合并为订单结算中心</w:t>
      </w:r>
    </w:p>
    <w:p>
      <w:pPr>
        <w:numPr>
          <w:numId w:val="6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运单、退款、处罚全部独立页面，数据完全解耦</w:t>
      </w:r>
    </w:p>
    <w:p>
      <w:pPr>
        <w:numPr>
          <w:numId w:val="6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标准化五 Sheet 完整对账导出体系</w:t>
      </w:r>
    </w:p>
    <w:p>
      <w:pPr>
        <w:numPr>
          <w:numId w:val="6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运营市场口径独立拆分，实现运营 / 商家数据口径隔离</w:t>
      </w:r>
    </w:p>
    <w:p>
      <w:pPr>
        <w:numPr>
          <w:numId w:val="6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新增账单卖家确认流程，完成结算对账闭环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|（注：部分内容可能由 AI 生成）</w:t>
      </w:r>
    </w:p>
    <w:sectPr>
      <w:footerReference w:type="default" r:id="rId3"/>
      <w:headerReference w:type="default" r:id="rId5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numbering.xml><?xml version="1.0" encoding="utf-8"?>
<w:numbering xmlns:w="http://schemas.openxmlformats.org/wordprocessingml/2006/main">
  <w:abstractNum w:abstractNumId="1006766">
    <w:lvl>
      <w:start w:val="1"/>
      <w:numFmt w:val="decimal"/>
      <w:suff w:val="tab"/>
      <w:lvlText w:val="%1."/>
      <w:rPr>
        <w:color w:val="3370ff"/>
      </w:rPr>
    </w:lvl>
  </w:abstractNum>
  <w:abstractNum w:abstractNumId="1006767">
    <w:lvl>
      <w:start w:val="2"/>
      <w:numFmt w:val="decimal"/>
      <w:suff w:val="tab"/>
      <w:lvlText w:val="%1."/>
      <w:rPr>
        <w:color w:val="3370ff"/>
      </w:rPr>
    </w:lvl>
  </w:abstractNum>
  <w:abstractNum w:abstractNumId="1006768">
    <w:lvl>
      <w:start w:val="3"/>
      <w:numFmt w:val="decimal"/>
      <w:suff w:val="tab"/>
      <w:lvlText w:val="%1."/>
      <w:rPr>
        <w:color w:val="3370ff"/>
      </w:rPr>
    </w:lvl>
  </w:abstractNum>
  <w:abstractNum w:abstractNumId="1006769">
    <w:lvl>
      <w:start w:val="4"/>
      <w:numFmt w:val="decimal"/>
      <w:suff w:val="tab"/>
      <w:lvlText w:val="%1."/>
      <w:rPr>
        <w:color w:val="3370ff"/>
      </w:rPr>
    </w:lvl>
  </w:abstractNum>
  <w:abstractNum w:abstractNumId="1006770">
    <w:lvl>
      <w:start w:val="5"/>
      <w:numFmt w:val="decimal"/>
      <w:suff w:val="tab"/>
      <w:lvlText w:val="%1."/>
      <w:rPr>
        <w:color w:val="3370ff"/>
      </w:rPr>
    </w:lvl>
  </w:abstractNum>
  <w:abstractNum w:abstractNumId="1006771">
    <w:lvl>
      <w:numFmt w:val="bullet"/>
      <w:suff w:val="tab"/>
      <w:lvlText w:val="•"/>
      <w:rPr>
        <w:color w:val="3370ff"/>
      </w:rPr>
    </w:lvl>
  </w:abstractNum>
  <w:abstractNum w:abstractNumId="1006772">
    <w:lvl>
      <w:numFmt w:val="bullet"/>
      <w:suff w:val="tab"/>
      <w:lvlText w:val="•"/>
      <w:rPr>
        <w:color w:val="3370ff"/>
      </w:rPr>
    </w:lvl>
  </w:abstractNum>
  <w:abstractNum w:abstractNumId="1006773">
    <w:lvl>
      <w:numFmt w:val="bullet"/>
      <w:suff w:val="tab"/>
      <w:lvlText w:val="•"/>
      <w:rPr>
        <w:color w:val="3370ff"/>
      </w:rPr>
    </w:lvl>
  </w:abstractNum>
  <w:abstractNum w:abstractNumId="1006774">
    <w:lvl>
      <w:numFmt w:val="bullet"/>
      <w:suff w:val="tab"/>
      <w:lvlText w:val="•"/>
      <w:rPr>
        <w:color w:val="3370ff"/>
      </w:rPr>
    </w:lvl>
  </w:abstractNum>
  <w:abstractNum w:abstractNumId="1006775">
    <w:lvl>
      <w:numFmt w:val="bullet"/>
      <w:suff w:val="tab"/>
      <w:lvlText w:val="•"/>
      <w:rPr>
        <w:color w:val="3370ff"/>
      </w:rPr>
    </w:lvl>
  </w:abstractNum>
  <w:abstractNum w:abstractNumId="1006776">
    <w:lvl>
      <w:numFmt w:val="bullet"/>
      <w:suff w:val="tab"/>
      <w:lvlText w:val="•"/>
      <w:rPr>
        <w:color w:val="3370ff"/>
      </w:rPr>
    </w:lvl>
  </w:abstractNum>
  <w:abstractNum w:abstractNumId="1006777">
    <w:lvl>
      <w:numFmt w:val="bullet"/>
      <w:suff w:val="tab"/>
      <w:lvlText w:val="•"/>
      <w:rPr>
        <w:color w:val="3370ff"/>
      </w:rPr>
    </w:lvl>
  </w:abstractNum>
  <w:abstractNum w:abstractNumId="1006778">
    <w:lvl>
      <w:numFmt w:val="bullet"/>
      <w:suff w:val="tab"/>
      <w:lvlText w:val="•"/>
      <w:rPr>
        <w:color w:val="3370ff"/>
      </w:rPr>
    </w:lvl>
  </w:abstractNum>
  <w:abstractNum w:abstractNumId="1006779">
    <w:lvl>
      <w:numFmt w:val="bullet"/>
      <w:suff w:val="tab"/>
      <w:lvlText w:val="•"/>
      <w:rPr>
        <w:color w:val="3370ff"/>
      </w:rPr>
    </w:lvl>
  </w:abstractNum>
  <w:abstractNum w:abstractNumId="1006780">
    <w:lvl>
      <w:numFmt w:val="bullet"/>
      <w:suff w:val="tab"/>
      <w:lvlText w:val="•"/>
      <w:rPr>
        <w:color w:val="3370ff"/>
      </w:rPr>
    </w:lvl>
  </w:abstractNum>
  <w:abstractNum w:abstractNumId="1006781">
    <w:lvl>
      <w:numFmt w:val="bullet"/>
      <w:suff w:val="tab"/>
      <w:lvlText w:val="•"/>
      <w:rPr>
        <w:color w:val="3370ff"/>
      </w:rPr>
    </w:lvl>
  </w:abstractNum>
  <w:abstractNum w:abstractNumId="1006782">
    <w:lvl>
      <w:start w:val="1"/>
      <w:numFmt w:val="decimal"/>
      <w:suff w:val="tab"/>
      <w:lvlText w:val="%1."/>
      <w:rPr>
        <w:color w:val="3370ff"/>
      </w:rPr>
    </w:lvl>
  </w:abstractNum>
  <w:abstractNum w:abstractNumId="1006783">
    <w:lvl>
      <w:numFmt w:val="bullet"/>
      <w:suff w:val="tab"/>
      <w:lvlText w:val="•"/>
      <w:rPr>
        <w:color w:val="3370ff"/>
      </w:rPr>
    </w:lvl>
  </w:abstractNum>
  <w:abstractNum w:abstractNumId="1006784">
    <w:lvl>
      <w:numFmt w:val="bullet"/>
      <w:suff w:val="tab"/>
      <w:lvlText w:val="•"/>
      <w:rPr>
        <w:color w:val="3370ff"/>
      </w:rPr>
    </w:lvl>
  </w:abstractNum>
  <w:abstractNum w:abstractNumId="1006785">
    <w:lvl>
      <w:numFmt w:val="bullet"/>
      <w:suff w:val="tab"/>
      <w:lvlText w:val="•"/>
      <w:rPr>
        <w:color w:val="3370ff"/>
      </w:rPr>
    </w:lvl>
  </w:abstractNum>
  <w:abstractNum w:abstractNumId="1006786">
    <w:lvl>
      <w:numFmt w:val="bullet"/>
      <w:suff w:val="tab"/>
      <w:lvlText w:val="•"/>
      <w:rPr>
        <w:color w:val="3370ff"/>
      </w:rPr>
    </w:lvl>
  </w:abstractNum>
  <w:abstractNum w:abstractNumId="1006787">
    <w:lvl>
      <w:start w:val="2"/>
      <w:numFmt w:val="decimal"/>
      <w:suff w:val="tab"/>
      <w:lvlText w:val="%1."/>
      <w:rPr>
        <w:color w:val="3370ff"/>
      </w:rPr>
    </w:lvl>
  </w:abstractNum>
  <w:abstractNum w:abstractNumId="1006788">
    <w:lvl>
      <w:numFmt w:val="bullet"/>
      <w:suff w:val="tab"/>
      <w:lvlText w:val="•"/>
      <w:rPr>
        <w:color w:val="3370ff"/>
      </w:rPr>
    </w:lvl>
  </w:abstractNum>
  <w:abstractNum w:abstractNumId="1006789">
    <w:lvl>
      <w:numFmt w:val="bullet"/>
      <w:suff w:val="tab"/>
      <w:lvlText w:val="•"/>
      <w:rPr>
        <w:color w:val="3370ff"/>
      </w:rPr>
    </w:lvl>
  </w:abstractNum>
  <w:abstractNum w:abstractNumId="1006790">
    <w:lvl>
      <w:numFmt w:val="bullet"/>
      <w:suff w:val="tab"/>
      <w:lvlText w:val="•"/>
      <w:rPr>
        <w:color w:val="3370ff"/>
      </w:rPr>
    </w:lvl>
  </w:abstractNum>
  <w:abstractNum w:abstractNumId="1006791">
    <w:lvl>
      <w:numFmt w:val="bullet"/>
      <w:suff w:val="tab"/>
      <w:lvlText w:val="•"/>
      <w:rPr>
        <w:color w:val="3370ff"/>
      </w:rPr>
    </w:lvl>
  </w:abstractNum>
  <w:abstractNum w:abstractNumId="1006792">
    <w:lvl>
      <w:numFmt w:val="bullet"/>
      <w:suff w:val="tab"/>
      <w:lvlText w:val="•"/>
      <w:rPr>
        <w:color w:val="3370ff"/>
      </w:rPr>
    </w:lvl>
  </w:abstractNum>
  <w:abstractNum w:abstractNumId="1006793">
    <w:lvl>
      <w:numFmt w:val="bullet"/>
      <w:suff w:val="tab"/>
      <w:lvlText w:val="•"/>
      <w:rPr>
        <w:color w:val="3370ff"/>
      </w:rPr>
    </w:lvl>
  </w:abstractNum>
  <w:abstractNum w:abstractNumId="1006794">
    <w:lvl>
      <w:numFmt w:val="bullet"/>
      <w:suff w:val="tab"/>
      <w:lvlText w:val="•"/>
      <w:rPr>
        <w:color w:val="3370ff"/>
      </w:rPr>
    </w:lvl>
  </w:abstractNum>
  <w:abstractNum w:abstractNumId="1006795">
    <w:lvl>
      <w:numFmt w:val="bullet"/>
      <w:suff w:val="tab"/>
      <w:lvlText w:val="•"/>
      <w:rPr>
        <w:color w:val="3370ff"/>
      </w:rPr>
    </w:lvl>
  </w:abstractNum>
  <w:abstractNum w:abstractNumId="1006796">
    <w:lvl>
      <w:numFmt w:val="bullet"/>
      <w:suff w:val="tab"/>
      <w:lvlText w:val="•"/>
      <w:rPr>
        <w:color w:val="3370ff"/>
      </w:rPr>
    </w:lvl>
  </w:abstractNum>
  <w:abstractNum w:abstractNumId="1006797">
    <w:lvl>
      <w:numFmt w:val="bullet"/>
      <w:suff w:val="tab"/>
      <w:lvlText w:val="•"/>
      <w:rPr>
        <w:color w:val="3370ff"/>
      </w:rPr>
    </w:lvl>
  </w:abstractNum>
  <w:abstractNum w:abstractNumId="1006798">
    <w:lvl>
      <w:numFmt w:val="bullet"/>
      <w:suff w:val="tab"/>
      <w:lvlText w:val="•"/>
      <w:rPr>
        <w:color w:val="3370ff"/>
      </w:rPr>
    </w:lvl>
  </w:abstractNum>
  <w:abstractNum w:abstractNumId="1006799">
    <w:lvl>
      <w:numFmt w:val="bullet"/>
      <w:suff w:val="tab"/>
      <w:lvlText w:val="•"/>
      <w:rPr>
        <w:color w:val="3370ff"/>
      </w:rPr>
    </w:lvl>
  </w:abstractNum>
  <w:abstractNum w:abstractNumId="1006800">
    <w:lvl>
      <w:numFmt w:val="bullet"/>
      <w:suff w:val="tab"/>
      <w:lvlText w:val="•"/>
      <w:rPr>
        <w:color w:val="3370ff"/>
      </w:rPr>
    </w:lvl>
  </w:abstractNum>
  <w:abstractNum w:abstractNumId="1006801">
    <w:lvl>
      <w:numFmt w:val="bullet"/>
      <w:suff w:val="tab"/>
      <w:lvlText w:val="•"/>
      <w:rPr>
        <w:color w:val="3370ff"/>
      </w:rPr>
    </w:lvl>
  </w:abstractNum>
  <w:abstractNum w:abstractNumId="1006802">
    <w:lvl>
      <w:numFmt w:val="bullet"/>
      <w:suff w:val="tab"/>
      <w:lvlText w:val="•"/>
      <w:rPr>
        <w:color w:val="3370ff"/>
      </w:rPr>
    </w:lvl>
  </w:abstractNum>
  <w:abstractNum w:abstractNumId="1006803">
    <w:lvl>
      <w:numFmt w:val="bullet"/>
      <w:suff w:val="tab"/>
      <w:lvlText w:val="•"/>
      <w:rPr>
        <w:color w:val="3370ff"/>
      </w:rPr>
    </w:lvl>
  </w:abstractNum>
  <w:abstractNum w:abstractNumId="1006804">
    <w:lvl>
      <w:numFmt w:val="bullet"/>
      <w:suff w:val="tab"/>
      <w:lvlText w:val="•"/>
      <w:rPr>
        <w:color w:val="3370ff"/>
      </w:rPr>
    </w:lvl>
  </w:abstractNum>
  <w:abstractNum w:abstractNumId="1006805">
    <w:lvl>
      <w:numFmt w:val="bullet"/>
      <w:suff w:val="tab"/>
      <w:lvlText w:val="•"/>
      <w:rPr>
        <w:color w:val="3370ff"/>
      </w:rPr>
    </w:lvl>
  </w:abstractNum>
  <w:abstractNum w:abstractNumId="1006806">
    <w:lvl>
      <w:numFmt w:val="bullet"/>
      <w:suff w:val="tab"/>
      <w:lvlText w:val="•"/>
      <w:rPr>
        <w:color w:val="3370ff"/>
      </w:rPr>
    </w:lvl>
  </w:abstractNum>
  <w:abstractNum w:abstractNumId="1006807">
    <w:lvl>
      <w:numFmt w:val="bullet"/>
      <w:suff w:val="tab"/>
      <w:lvlText w:val="•"/>
      <w:rPr>
        <w:color w:val="3370ff"/>
      </w:rPr>
    </w:lvl>
  </w:abstractNum>
  <w:abstractNum w:abstractNumId="1006808">
    <w:lvl>
      <w:numFmt w:val="bullet"/>
      <w:suff w:val="tab"/>
      <w:lvlText w:val="•"/>
      <w:rPr>
        <w:color w:val="3370ff"/>
      </w:rPr>
    </w:lvl>
  </w:abstractNum>
  <w:abstractNum w:abstractNumId="1006809">
    <w:lvl>
      <w:numFmt w:val="bullet"/>
      <w:suff w:val="tab"/>
      <w:lvlText w:val="•"/>
      <w:rPr>
        <w:color w:val="3370ff"/>
      </w:rPr>
    </w:lvl>
  </w:abstractNum>
  <w:abstractNum w:abstractNumId="1006810">
    <w:lvl>
      <w:numFmt w:val="bullet"/>
      <w:suff w:val="tab"/>
      <w:lvlText w:val="•"/>
      <w:rPr>
        <w:color w:val="3370ff"/>
      </w:rPr>
    </w:lvl>
  </w:abstractNum>
  <w:abstractNum w:abstractNumId="1006811">
    <w:lvl>
      <w:start w:val="1"/>
      <w:numFmt w:val="decimal"/>
      <w:suff w:val="tab"/>
      <w:lvlText w:val="%1."/>
      <w:rPr>
        <w:color w:val="3370ff"/>
      </w:rPr>
    </w:lvl>
  </w:abstractNum>
  <w:abstractNum w:abstractNumId="1006812">
    <w:lvl>
      <w:start w:val="2"/>
      <w:numFmt w:val="decimal"/>
      <w:suff w:val="tab"/>
      <w:lvlText w:val="%1."/>
      <w:rPr>
        <w:color w:val="3370ff"/>
      </w:rPr>
    </w:lvl>
  </w:abstractNum>
  <w:abstractNum w:abstractNumId="1006813">
    <w:lvl>
      <w:start w:val="3"/>
      <w:numFmt w:val="decimal"/>
      <w:suff w:val="tab"/>
      <w:lvlText w:val="%1."/>
      <w:rPr>
        <w:color w:val="3370ff"/>
      </w:rPr>
    </w:lvl>
  </w:abstractNum>
  <w:abstractNum w:abstractNumId="1006814">
    <w:lvl>
      <w:start w:val="4"/>
      <w:numFmt w:val="decimal"/>
      <w:suff w:val="tab"/>
      <w:lvlText w:val="%1."/>
      <w:rPr>
        <w:color w:val="3370ff"/>
      </w:rPr>
    </w:lvl>
  </w:abstractNum>
  <w:abstractNum w:abstractNumId="1006815">
    <w:lvl>
      <w:start w:val="1"/>
      <w:numFmt w:val="decimal"/>
      <w:suff w:val="tab"/>
      <w:lvlText w:val="%1."/>
      <w:rPr>
        <w:color w:val="3370ff"/>
      </w:rPr>
    </w:lvl>
  </w:abstractNum>
  <w:abstractNum w:abstractNumId="1006816">
    <w:lvl>
      <w:start w:val="2"/>
      <w:numFmt w:val="decimal"/>
      <w:suff w:val="tab"/>
      <w:lvlText w:val="%1."/>
      <w:rPr>
        <w:color w:val="3370ff"/>
      </w:rPr>
    </w:lvl>
  </w:abstractNum>
  <w:abstractNum w:abstractNumId="1006817">
    <w:lvl>
      <w:start w:val="3"/>
      <w:numFmt w:val="decimal"/>
      <w:suff w:val="tab"/>
      <w:lvlText w:val="%1."/>
      <w:rPr>
        <w:color w:val="3370ff"/>
      </w:rPr>
    </w:lvl>
  </w:abstractNum>
  <w:abstractNum w:abstractNumId="1006818">
    <w:lvl>
      <w:start w:val="4"/>
      <w:numFmt w:val="decimal"/>
      <w:suff w:val="tab"/>
      <w:lvlText w:val="%1."/>
      <w:rPr>
        <w:color w:val="3370ff"/>
      </w:rPr>
    </w:lvl>
  </w:abstractNum>
  <w:abstractNum w:abstractNumId="1006819">
    <w:lvl>
      <w:start w:val="1"/>
      <w:numFmt w:val="decimal"/>
      <w:suff w:val="tab"/>
      <w:lvlText w:val="%1."/>
      <w:rPr>
        <w:color w:val="3370ff"/>
      </w:rPr>
    </w:lvl>
  </w:abstractNum>
  <w:abstractNum w:abstractNumId="1006820">
    <w:lvl>
      <w:start w:val="2"/>
      <w:numFmt w:val="decimal"/>
      <w:suff w:val="tab"/>
      <w:lvlText w:val="%1."/>
      <w:rPr>
        <w:color w:val="3370ff"/>
      </w:rPr>
    </w:lvl>
  </w:abstractNum>
  <w:abstractNum w:abstractNumId="1006821">
    <w:lvl>
      <w:start w:val="3"/>
      <w:numFmt w:val="decimal"/>
      <w:suff w:val="tab"/>
      <w:lvlText w:val="%1."/>
      <w:rPr>
        <w:color w:val="3370ff"/>
      </w:rPr>
    </w:lvl>
  </w:abstractNum>
  <w:abstractNum w:abstractNumId="1006822">
    <w:lvl>
      <w:start w:val="4"/>
      <w:numFmt w:val="decimal"/>
      <w:suff w:val="tab"/>
      <w:lvlText w:val="%1."/>
      <w:rPr>
        <w:color w:val="3370ff"/>
      </w:rPr>
    </w:lvl>
  </w:abstractNum>
  <w:abstractNum w:abstractNumId="1006823">
    <w:lvl>
      <w:start w:val="1"/>
      <w:numFmt w:val="decimal"/>
      <w:suff w:val="tab"/>
      <w:lvlText w:val="%1."/>
      <w:rPr>
        <w:color w:val="3370ff"/>
      </w:rPr>
    </w:lvl>
  </w:abstractNum>
  <w:abstractNum w:abstractNumId="1006824">
    <w:lvl>
      <w:start w:val="2"/>
      <w:numFmt w:val="decimal"/>
      <w:suff w:val="tab"/>
      <w:lvlText w:val="%1."/>
      <w:rPr>
        <w:color w:val="3370ff"/>
      </w:rPr>
    </w:lvl>
  </w:abstractNum>
  <w:abstractNum w:abstractNumId="1006825">
    <w:lvl>
      <w:start w:val="3"/>
      <w:numFmt w:val="decimal"/>
      <w:suff w:val="tab"/>
      <w:lvlText w:val="%1."/>
      <w:rPr>
        <w:color w:val="3370ff"/>
      </w:rPr>
    </w:lvl>
  </w:abstractNum>
  <w:abstractNum w:abstractNumId="1006826">
    <w:lvl>
      <w:start w:val="4"/>
      <w:numFmt w:val="decimal"/>
      <w:suff w:val="tab"/>
      <w:lvlText w:val="%1."/>
      <w:rPr>
        <w:color w:val="3370ff"/>
      </w:rPr>
    </w:lvl>
  </w:abstractNum>
  <w:abstractNum w:abstractNumId="1006827">
    <w:lvl>
      <w:start w:val="1"/>
      <w:numFmt w:val="decimal"/>
      <w:suff w:val="tab"/>
      <w:lvlText w:val="%1."/>
      <w:rPr>
        <w:color w:val="3370ff"/>
      </w:rPr>
    </w:lvl>
  </w:abstractNum>
  <w:abstractNum w:abstractNumId="1006828">
    <w:lvl>
      <w:start w:val="2"/>
      <w:numFmt w:val="decimal"/>
      <w:suff w:val="tab"/>
      <w:lvlText w:val="%1."/>
      <w:rPr>
        <w:color w:val="3370ff"/>
      </w:rPr>
    </w:lvl>
  </w:abstractNum>
  <w:abstractNum w:abstractNumId="1006829">
    <w:lvl>
      <w:start w:val="3"/>
      <w:numFmt w:val="decimal"/>
      <w:suff w:val="tab"/>
      <w:lvlText w:val="%1."/>
      <w:rPr>
        <w:color w:val="3370ff"/>
      </w:rPr>
    </w:lvl>
  </w:abstractNum>
  <w:abstractNum w:abstractNumId="1006830">
    <w:lvl>
      <w:start w:val="4"/>
      <w:numFmt w:val="decimal"/>
      <w:suff w:val="tab"/>
      <w:lvlText w:val="%1."/>
      <w:rPr>
        <w:color w:val="3370ff"/>
      </w:rPr>
    </w:lvl>
  </w:abstractNum>
  <w:abstractNum w:abstractNumId="1006831">
    <w:lvl>
      <w:start w:val="5"/>
      <w:numFmt w:val="decimal"/>
      <w:suff w:val="tab"/>
      <w:lvlText w:val="%1."/>
      <w:rPr>
        <w:color w:val="3370ff"/>
      </w:rPr>
    </w:lvl>
  </w:abstractNum>
  <w:abstractNum w:abstractNumId="1006832">
    <w:lvl>
      <w:start w:val="6"/>
      <w:numFmt w:val="decimal"/>
      <w:suff w:val="tab"/>
      <w:lvlText w:val="%1."/>
      <w:rPr>
        <w:color w:val="3370ff"/>
      </w:rPr>
    </w:lvl>
  </w:abstractNum>
  <w:num w:numId="1">
    <w:abstractNumId w:val="1006766"/>
  </w:num>
  <w:num w:numId="2">
    <w:abstractNumId w:val="1006767"/>
  </w:num>
  <w:num w:numId="3">
    <w:abstractNumId w:val="1006768"/>
  </w:num>
  <w:num w:numId="4">
    <w:abstractNumId w:val="1006769"/>
  </w:num>
  <w:num w:numId="5">
    <w:abstractNumId w:val="1006770"/>
  </w:num>
  <w:num w:numId="6">
    <w:abstractNumId w:val="1006771"/>
  </w:num>
  <w:num w:numId="7">
    <w:abstractNumId w:val="1006772"/>
  </w:num>
  <w:num w:numId="8">
    <w:abstractNumId w:val="1006773"/>
  </w:num>
  <w:num w:numId="9">
    <w:abstractNumId w:val="1006774"/>
  </w:num>
  <w:num w:numId="10">
    <w:abstractNumId w:val="1006775"/>
  </w:num>
  <w:num w:numId="11">
    <w:abstractNumId w:val="1006776"/>
  </w:num>
  <w:num w:numId="12">
    <w:abstractNumId w:val="1006777"/>
  </w:num>
  <w:num w:numId="13">
    <w:abstractNumId w:val="1006778"/>
  </w:num>
  <w:num w:numId="14">
    <w:abstractNumId w:val="1006779"/>
  </w:num>
  <w:num w:numId="15">
    <w:abstractNumId w:val="1006780"/>
  </w:num>
  <w:num w:numId="16">
    <w:abstractNumId w:val="1006781"/>
  </w:num>
  <w:num w:numId="17">
    <w:abstractNumId w:val="1006782"/>
  </w:num>
  <w:num w:numId="18">
    <w:abstractNumId w:val="1006783"/>
  </w:num>
  <w:num w:numId="19">
    <w:abstractNumId w:val="1006784"/>
  </w:num>
  <w:num w:numId="20">
    <w:abstractNumId w:val="1006785"/>
  </w:num>
  <w:num w:numId="21">
    <w:abstractNumId w:val="1006786"/>
  </w:num>
  <w:num w:numId="22">
    <w:abstractNumId w:val="1006787"/>
  </w:num>
  <w:num w:numId="23">
    <w:abstractNumId w:val="1006788"/>
  </w:num>
  <w:num w:numId="24">
    <w:abstractNumId w:val="1006789"/>
  </w:num>
  <w:num w:numId="25">
    <w:abstractNumId w:val="1006790"/>
  </w:num>
  <w:num w:numId="26">
    <w:abstractNumId w:val="1006791"/>
  </w:num>
  <w:num w:numId="27">
    <w:abstractNumId w:val="1006792"/>
  </w:num>
  <w:num w:numId="28">
    <w:abstractNumId w:val="1006793"/>
  </w:num>
  <w:num w:numId="29">
    <w:abstractNumId w:val="1006794"/>
  </w:num>
  <w:num w:numId="30">
    <w:abstractNumId w:val="1006795"/>
  </w:num>
  <w:num w:numId="31">
    <w:abstractNumId w:val="1006796"/>
  </w:num>
  <w:num w:numId="32">
    <w:abstractNumId w:val="1006797"/>
  </w:num>
  <w:num w:numId="33">
    <w:abstractNumId w:val="1006798"/>
  </w:num>
  <w:num w:numId="34">
    <w:abstractNumId w:val="1006799"/>
  </w:num>
  <w:num w:numId="35">
    <w:abstractNumId w:val="1006800"/>
  </w:num>
  <w:num w:numId="36">
    <w:abstractNumId w:val="1006801"/>
  </w:num>
  <w:num w:numId="37">
    <w:abstractNumId w:val="1006802"/>
  </w:num>
  <w:num w:numId="38">
    <w:abstractNumId w:val="1006803"/>
  </w:num>
  <w:num w:numId="39">
    <w:abstractNumId w:val="1006804"/>
  </w:num>
  <w:num w:numId="40">
    <w:abstractNumId w:val="1006805"/>
  </w:num>
  <w:num w:numId="41">
    <w:abstractNumId w:val="1006806"/>
  </w:num>
  <w:num w:numId="42">
    <w:abstractNumId w:val="1006807"/>
  </w:num>
  <w:num w:numId="43">
    <w:abstractNumId w:val="1006808"/>
  </w:num>
  <w:num w:numId="44">
    <w:abstractNumId w:val="1006809"/>
  </w:num>
  <w:num w:numId="45">
    <w:abstractNumId w:val="1006810"/>
  </w:num>
  <w:num w:numId="46">
    <w:abstractNumId w:val="1006811"/>
  </w:num>
  <w:num w:numId="47">
    <w:abstractNumId w:val="1006812"/>
  </w:num>
  <w:num w:numId="48">
    <w:abstractNumId w:val="1006813"/>
  </w:num>
  <w:num w:numId="49">
    <w:abstractNumId w:val="1006814"/>
  </w:num>
  <w:num w:numId="50">
    <w:abstractNumId w:val="1006815"/>
  </w:num>
  <w:num w:numId="51">
    <w:abstractNumId w:val="1006816"/>
  </w:num>
  <w:num w:numId="52">
    <w:abstractNumId w:val="1006817"/>
  </w:num>
  <w:num w:numId="53">
    <w:abstractNumId w:val="1006818"/>
  </w:num>
  <w:num w:numId="54">
    <w:abstractNumId w:val="1006819"/>
  </w:num>
  <w:num w:numId="55">
    <w:abstractNumId w:val="1006820"/>
  </w:num>
  <w:num w:numId="56">
    <w:abstractNumId w:val="1006821"/>
  </w:num>
  <w:num w:numId="57">
    <w:abstractNumId w:val="1006822"/>
  </w:num>
  <w:num w:numId="58">
    <w:abstractNumId w:val="1006823"/>
  </w:num>
  <w:num w:numId="59">
    <w:abstractNumId w:val="1006824"/>
  </w:num>
  <w:num w:numId="60">
    <w:abstractNumId w:val="1006825"/>
  </w:num>
  <w:num w:numId="61">
    <w:abstractNumId w:val="1006826"/>
  </w:num>
  <w:num w:numId="62">
    <w:abstractNumId w:val="1006827"/>
  </w:num>
  <w:num w:numId="63">
    <w:abstractNumId w:val="1006828"/>
  </w:num>
  <w:num w:numId="64">
    <w:abstractNumId w:val="1006829"/>
  </w:num>
  <w:num w:numId="65">
    <w:abstractNumId w:val="1006830"/>
  </w:num>
  <w:num w:numId="66">
    <w:abstractNumId w:val="1006831"/>
  </w:num>
  <w:num w:numId="67">
    <w:abstractNumId w:val="1006832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numbering.xml" Type="http://schemas.openxmlformats.org/officeDocument/2006/relationships/numbering"/><Relationship Id="rId5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2026-08-16T01:16:38Z</dcterms:created>
  <dc:creator>Apache 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{"Label":"1","ContentProducer":"001191110102MACQD9K64010000","ProduceID":"7674432138750364958","ReservedCode1":"","ContentPropagator":"","PropagateID":"","ReservedCode2":""}</vt:lpwstr>
  </property>
</Properties>
</file>