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平台财务端-商店街结算功能PRD文档（独立版）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一、需求概述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本功能为</w:t>
      </w:r>
      <w:r>
        <w:rPr>
          <w:rFonts w:eastAsia="等线" w:ascii="Arial" w:cs="Arial" w:hAnsi="Arial"/>
          <w:b w:val="true"/>
          <w:sz w:val="22"/>
        </w:rPr>
        <w:t>平台财务后台专属功能</w:t>
      </w:r>
      <w:r>
        <w:rPr>
          <w:rFonts w:eastAsia="等线" w:ascii="Arial" w:cs="Arial" w:hAnsi="Arial"/>
          <w:sz w:val="22"/>
        </w:rPr>
        <w:t>，独立于卖家后台结算体系。</w:t>
        <w:br/>
      </w:r>
      <w:r>
        <w:rPr>
          <w:rFonts w:eastAsia="等线" w:ascii="Arial" w:cs="Arial" w:hAnsi="Arial"/>
          <w:sz w:val="22"/>
        </w:rPr>
        <w:t>平台作为</w:t>
      </w:r>
      <w:r>
        <w:rPr>
          <w:rFonts w:eastAsia="等线" w:ascii="Arial" w:cs="Arial" w:hAnsi="Arial"/>
          <w:b w:val="true"/>
          <w:sz w:val="22"/>
        </w:rPr>
        <w:t>总代理角色</w:t>
      </w:r>
      <w:r>
        <w:rPr>
          <w:rFonts w:eastAsia="等线" w:ascii="Arial" w:cs="Arial" w:hAnsi="Arial"/>
          <w:sz w:val="22"/>
        </w:rPr>
        <w:t>，需要基于「卖家最终结算数据」，完成平台对</w:t>
      </w:r>
      <w:r>
        <w:rPr>
          <w:rFonts w:eastAsia="等线" w:ascii="Arial" w:cs="Arial" w:hAnsi="Arial"/>
          <w:b w:val="true"/>
          <w:sz w:val="22"/>
        </w:rPr>
        <w:t>上层总公司</w:t>
      </w:r>
      <w:r>
        <w:rPr>
          <w:rFonts w:eastAsia="等线" w:ascii="Arial" w:cs="Arial" w:hAnsi="Arial"/>
          <w:sz w:val="22"/>
        </w:rPr>
        <w:t>的统一对账、结算、汇总统计。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本次主要新增内容：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财务结算汇总页面：展示全店铺结算数据、新增【商家账单确认状态】、支持</w:t>
      </w:r>
      <w:r>
        <w:rPr>
          <w:rFonts w:eastAsia="等线" w:ascii="Arial" w:cs="Arial" w:hAnsi="Arial"/>
          <w:b w:val="true"/>
          <w:sz w:val="22"/>
        </w:rPr>
        <w:t>批量标记平台结算状态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财务后台新增专属子菜单：【商店街结算】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商店街结算数据口径：</w:t>
      </w:r>
      <w:r>
        <w:rPr>
          <w:rFonts w:eastAsia="等线" w:ascii="Arial" w:cs="Arial" w:hAnsi="Arial"/>
          <w:b w:val="true"/>
          <w:sz w:val="22"/>
        </w:rPr>
        <w:t>全部以「平台与卖家最终结算金额」为唯一基准</w:t>
      </w:r>
      <w:r>
        <w:rPr>
          <w:rFonts w:eastAsia="等线" w:ascii="Arial" w:cs="Arial" w:hAnsi="Arial"/>
          <w:sz w:val="22"/>
        </w:rPr>
        <w:t>，作为对上总公司结算依据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打通卖家端与平台财务端数据联动，实现商家确认、平台审核、平台对上结算完整闭环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二、前置依赖</w:t>
      </w:r>
      <w:bookmarkEnd w:id="1"/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已上线【卖家后台结算中心全流程】（结算汇总、订单结算、运单、退款、处罚、多 Sheet 导出、卖家确认）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卖家端每一期结算账单存在「卖家确认状态」，可同步至平台后台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所有店铺结算数据按期次归档、可汇总、可统计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三、平台财务端菜单结构（新增）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一级菜单：财务管理</w:t>
        <w:br/>
      </w:r>
      <w:r>
        <w:rPr>
          <w:rFonts w:eastAsia="等线" w:ascii="Arial" w:cs="Arial" w:hAnsi="Arial"/>
          <w:sz w:val="22"/>
        </w:rPr>
        <w:t>二级子菜单：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结算汇总管理（原有改版升级）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商店街结算（新增专属菜单）</w:t>
      </w:r>
    </w:p>
    <w:tbl>
      <w:tblPr>
        <w:tblW w:w="0" w:type="auto"/>
        <w:tblInd w:w="0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Layout w:type="fixed"/>
      </w:tblPr>
      <w:tblGrid>
        <w:gridCol w:w="8280"/>
      </w:tblGrid>
      <w:tr>
        <w:tc>
          <w:tcPr>
            <w:tcW w:w="8280" w:type="dxa"/>
            <w:tcBorders>
              <w:top w:val="nil"/>
              <w:left w:sz="18" w:val="single" w:color="BBBFC4"/>
              <w:bottom w:val="nil"/>
              <w:right w:val="nil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646a73"/>
                <w:sz w:val="22"/>
              </w:rPr>
              <w:t>卖家端菜单、运营中心菜单完全不受影响，两端数据隔离、权限隔离。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四、结算汇总管理页面（财务端改版升级）</w:t>
      </w:r>
      <w:bookmarkEnd w:id="3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4.1 页面定位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平台财务查看</w:t>
      </w:r>
      <w:r>
        <w:rPr>
          <w:rFonts w:eastAsia="等线" w:ascii="Arial" w:cs="Arial" w:hAnsi="Arial"/>
          <w:b w:val="true"/>
          <w:sz w:val="22"/>
        </w:rPr>
        <w:t>全店铺、全期次</w:t>
      </w:r>
      <w:r>
        <w:rPr>
          <w:rFonts w:eastAsia="等线" w:ascii="Arial" w:cs="Arial" w:hAnsi="Arial"/>
          <w:sz w:val="22"/>
        </w:rPr>
        <w:t>商家结算账单台账，监控商家确认进度、平台结算进度，支持批量财务操作。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4.2 核心新增字段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在原有全量结算汇总字段基础上，新增两个核心财务字段：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卖家账单确认状态</w:t>
      </w:r>
      <w:r>
        <w:rPr>
          <w:rFonts w:eastAsia="等线" w:ascii="Arial" w:cs="Arial" w:hAnsi="Arial"/>
          <w:sz w:val="22"/>
        </w:rPr>
        <w:t>：未确认 / 已确认（同步卖家后台真实状态，只读，财务不可修改）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平台结算状态</w:t>
      </w:r>
      <w:r>
        <w:rPr>
          <w:rFonts w:eastAsia="等线" w:ascii="Arial" w:cs="Arial" w:hAnsi="Arial"/>
          <w:sz w:val="22"/>
        </w:rPr>
        <w:t>：待结算 / 已结算（平台财务内部状态，仅财务可操作）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>4.3 页面展示完整字段</w:t>
      </w:r>
      <w:bookmarkEnd w:id="6"/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结算期次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店铺 ID / 店铺名称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当期结算订单总数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订单金额总计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物流费用总计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平台扣点总计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税费总计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往期已结算订单退款总计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平台处罚总计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卖家账单确认状态（同步商家端）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平台结算状态（待结算 / 已结算）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卖家最终结算金额（对上结算基准金额）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操作记录（操作人、操作时间）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操作按钮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b w:val="true"/>
          <w:sz w:val="30"/>
        </w:rPr>
        <w:t>4.4 财务操作能力（核心新增）</w:t>
      </w:r>
      <w:bookmarkEnd w:id="7"/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批量操作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支持勾选多店铺、多期次账单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批量标记：平台结算状态 → 待结算 / 已结算</w:t>
      </w:r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批量操作留痕，日志可查</w:t>
      </w:r>
    </w:p>
    <w:p>
      <w:pPr>
        <w:numPr>
          <w:numId w:val="3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单条操作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单独修改单店铺单期次结算状态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8" w:id="8"/>
      <w:r>
        <w:rPr>
          <w:rFonts w:eastAsia="等线" w:ascii="Arial" w:cs="Arial" w:hAnsi="Arial"/>
          <w:b w:val="true"/>
          <w:sz w:val="30"/>
        </w:rPr>
        <w:t>4.5 业务约束规则</w:t>
      </w:r>
      <w:bookmarkEnd w:id="8"/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仅</w:t>
      </w:r>
      <w:r>
        <w:rPr>
          <w:rFonts w:eastAsia="等线" w:ascii="Arial" w:cs="Arial" w:hAnsi="Arial"/>
          <w:b w:val="true"/>
          <w:sz w:val="22"/>
        </w:rPr>
        <w:t>卖家已确认账单</w:t>
      </w:r>
      <w:r>
        <w:rPr>
          <w:rFonts w:eastAsia="等线" w:ascii="Arial" w:cs="Arial" w:hAnsi="Arial"/>
          <w:sz w:val="22"/>
        </w:rPr>
        <w:t>的单据，财务可标记为【已结算】</w:t>
      </w:r>
    </w:p>
    <w:p>
      <w:pPr>
        <w:numPr>
          <w:numId w:val="3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卖家未确认账单，平台结算状态只能为【待结算】，禁止手动改为已结算（系统强控）</w:t>
      </w:r>
    </w:p>
    <w:p>
      <w:pPr>
        <w:numPr>
          <w:numId w:val="3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所有状态变更全部记录操作日志：账号、时间、前后状态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9" w:id="9"/>
      <w:r>
        <w:rPr>
          <w:rFonts w:eastAsia="等线" w:ascii="Arial" w:cs="Arial" w:hAnsi="Arial"/>
          <w:b w:val="true"/>
          <w:sz w:val="30"/>
        </w:rPr>
        <w:t>4.6 筛选条件新增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支持筛选：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按卖家确认状态筛选</w:t>
      </w:r>
    </w:p>
    <w:p>
      <w:pPr>
        <w:numPr>
          <w:numId w:val="3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按平台结算状态筛选</w:t>
      </w:r>
    </w:p>
    <w:p>
      <w:pPr>
        <w:numPr>
          <w:numId w:val="3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按期次、店铺筛选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五、新增功能：商店街结算（平台总代理对上结算页面）</w:t>
      </w:r>
      <w:bookmarkEnd w:id="10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1" w:id="11"/>
      <w:r>
        <w:rPr>
          <w:rFonts w:eastAsia="等线" w:ascii="Arial" w:cs="Arial" w:hAnsi="Arial"/>
          <w:b w:val="true"/>
          <w:sz w:val="30"/>
        </w:rPr>
        <w:t>5.1 页面定位</w:t>
      </w:r>
      <w:bookmarkEnd w:id="1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</w:t>
      </w:r>
      <w:r>
        <w:rPr>
          <w:rFonts w:eastAsia="等线" w:ascii="Arial" w:cs="Arial" w:hAnsi="Arial"/>
          <w:b w:val="true"/>
          <w:sz w:val="22"/>
        </w:rPr>
        <w:t>总代理对上层总公司</w:t>
      </w:r>
      <w:r>
        <w:rPr>
          <w:rFonts w:eastAsia="等线" w:ascii="Arial" w:cs="Arial" w:hAnsi="Arial"/>
          <w:sz w:val="22"/>
        </w:rPr>
        <w:t>的结算汇总页面。</w:t>
        <w:br/>
      </w:r>
      <w:r>
        <w:rPr>
          <w:rFonts w:eastAsia="等线" w:ascii="Arial" w:cs="Arial" w:hAnsi="Arial"/>
          <w:sz w:val="22"/>
        </w:rPr>
        <w:t>用途：对外对账、提交总公司结算报表、统计平台整体营收结算数据。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2" w:id="12"/>
      <w:r>
        <w:rPr>
          <w:rFonts w:eastAsia="等线" w:ascii="Arial" w:cs="Arial" w:hAnsi="Arial"/>
          <w:b w:val="true"/>
          <w:sz w:val="30"/>
        </w:rPr>
        <w:t>5.2 核心数据口径（强规则）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商店街所有对上结算统计，不以原始订单金额计算，统一以【卖家最终结算金额】为基准。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卖家最终结算金额公式：</w:t>
        <w:br/>
      </w:r>
      <w:r>
        <w:rPr>
          <w:rFonts w:eastAsia="等线" w:ascii="Arial" w:cs="Arial" w:hAnsi="Arial"/>
          <w:sz w:val="22"/>
        </w:rPr>
        <w:t>最终结算金额 = 订单金额总计 - 平台扣点总计 - 税费总计 - 往期退款扣减总计 - 平台处罚总计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3" w:id="13"/>
      <w:r>
        <w:rPr>
          <w:rFonts w:eastAsia="等线" w:ascii="Arial" w:cs="Arial" w:hAnsi="Arial"/>
          <w:b w:val="true"/>
          <w:sz w:val="30"/>
        </w:rPr>
        <w:t>5.3 页面展示维度</w:t>
      </w:r>
      <w:bookmarkEnd w:id="1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按【结算期次】</w:t>
      </w:r>
      <w:r>
        <w:rPr>
          <w:rFonts w:eastAsia="等线" w:ascii="Arial" w:cs="Arial" w:hAnsi="Arial"/>
          <w:b w:val="true"/>
          <w:sz w:val="22"/>
        </w:rPr>
        <w:t>全平台汇总</w:t>
      </w:r>
      <w:r>
        <w:rPr>
          <w:rFonts w:eastAsia="等线" w:ascii="Arial" w:cs="Arial" w:hAnsi="Arial"/>
          <w:sz w:val="22"/>
        </w:rPr>
        <w:t>（所有店铺数据合并统计）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4" w:id="14"/>
      <w:r>
        <w:rPr>
          <w:rFonts w:eastAsia="等线" w:ascii="Arial" w:cs="Arial" w:hAnsi="Arial"/>
          <w:b w:val="true"/>
          <w:sz w:val="30"/>
        </w:rPr>
        <w:t>5.4 页面展示字段</w:t>
      </w:r>
      <w:bookmarkEnd w:id="14"/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结算期次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当期参与结算店铺总数</w:t>
      </w:r>
    </w:p>
    <w:p>
      <w:pPr>
        <w:numPr>
          <w:numId w:val="4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全平台订单金额汇总总计</w:t>
      </w:r>
    </w:p>
    <w:p>
      <w:pPr>
        <w:numPr>
          <w:numId w:val="4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全平台物流费用汇总总计</w:t>
      </w:r>
    </w:p>
    <w:p>
      <w:pPr>
        <w:numPr>
          <w:numId w:val="4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全平台平台扣点汇总总计</w:t>
      </w:r>
    </w:p>
    <w:p>
      <w:pPr>
        <w:numPr>
          <w:numId w:val="4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全平台税费汇总总计</w:t>
      </w:r>
    </w:p>
    <w:p>
      <w:pPr>
        <w:numPr>
          <w:numId w:val="4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全平台往期退款扣减汇总总计</w:t>
      </w:r>
    </w:p>
    <w:p>
      <w:pPr>
        <w:numPr>
          <w:numId w:val="4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全平台平台处罚汇总总计</w:t>
      </w:r>
    </w:p>
    <w:p>
      <w:pPr>
        <w:numPr>
          <w:numId w:val="4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全平台卖家最终结算总金额（对上结算核心金额）</w:t>
      </w:r>
    </w:p>
    <w:p>
      <w:pPr>
        <w:numPr>
          <w:numId w:val="4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已确认账单店铺数 / 未确认账单店铺数</w:t>
      </w:r>
    </w:p>
    <w:p>
      <w:pPr>
        <w:numPr>
          <w:numId w:val="4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平台整体结算状态（部分待结算 / 全部已结算）</w:t>
      </w:r>
    </w:p>
    <w:p>
      <w:pPr>
        <w:numPr>
          <w:numId w:val="4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操作：查看明细、导出汇总报表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5" w:id="15"/>
      <w:r>
        <w:rPr>
          <w:rFonts w:eastAsia="等线" w:ascii="Arial" w:cs="Arial" w:hAnsi="Arial"/>
          <w:b w:val="true"/>
          <w:sz w:val="30"/>
        </w:rPr>
        <w:t>5.5 明细下钻功能</w:t>
      </w:r>
      <w:bookmarkEnd w:id="1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点击期次可下钻弹窗 / 新页面：</w:t>
        <w:br/>
      </w:r>
      <w:r>
        <w:rPr>
          <w:rFonts w:eastAsia="等线" w:ascii="Arial" w:cs="Arial" w:hAnsi="Arial"/>
          <w:sz w:val="22"/>
        </w:rPr>
        <w:t>展示当期</w:t>
      </w:r>
      <w:r>
        <w:rPr>
          <w:rFonts w:eastAsia="等线" w:ascii="Arial" w:cs="Arial" w:hAnsi="Arial"/>
          <w:b w:val="true"/>
          <w:sz w:val="22"/>
        </w:rPr>
        <w:t>每一家店铺的独立结算明细</w:t>
      </w:r>
      <w:r>
        <w:rPr>
          <w:rFonts w:eastAsia="等线" w:ascii="Arial" w:cs="Arial" w:hAnsi="Arial"/>
          <w:sz w:val="22"/>
        </w:rPr>
        <w:t>，包含单店所有汇总字段、确认状态、平台结算状态，用于财务核对汇总差异。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6" w:id="16"/>
      <w:r>
        <w:rPr>
          <w:rFonts w:eastAsia="等线" w:ascii="Arial" w:cs="Arial" w:hAnsi="Arial"/>
          <w:b w:val="true"/>
          <w:sz w:val="32"/>
        </w:rPr>
        <w:t>六、数据联动逻辑（卖家端 ↔ 平台财务端）</w:t>
      </w:r>
      <w:bookmarkEnd w:id="16"/>
    </w:p>
    <w:p>
      <w:pPr>
        <w:numPr>
          <w:numId w:val="5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商家在卖家后台【结算中心】确认账单 → 状态</w:t>
      </w:r>
      <w:r>
        <w:rPr>
          <w:rFonts w:eastAsia="等线" w:ascii="Arial" w:cs="Arial" w:hAnsi="Arial"/>
          <w:b w:val="true"/>
          <w:sz w:val="22"/>
        </w:rPr>
        <w:t>实时同步</w:t>
      </w:r>
      <w:r>
        <w:rPr>
          <w:rFonts w:eastAsia="等线" w:ascii="Arial" w:cs="Arial" w:hAnsi="Arial"/>
          <w:sz w:val="22"/>
        </w:rPr>
        <w:t>平台财务后台</w:t>
      </w:r>
    </w:p>
    <w:p>
      <w:pPr>
        <w:numPr>
          <w:numId w:val="5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财务端只读商家确认状态，不可篡改商家确认行为</w:t>
      </w:r>
    </w:p>
    <w:p>
      <w:pPr>
        <w:numPr>
          <w:numId w:val="5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平台结算状态仅财务端可见、可操作，</w:t>
      </w:r>
      <w:r>
        <w:rPr>
          <w:rFonts w:eastAsia="等线" w:ascii="Arial" w:cs="Arial" w:hAnsi="Arial"/>
          <w:b w:val="true"/>
          <w:sz w:val="22"/>
        </w:rPr>
        <w:t>商家后台完全不可见</w:t>
      </w:r>
    </w:p>
    <w:p>
      <w:pPr>
        <w:numPr>
          <w:numId w:val="5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商店街汇总数据自动根据全店铺已确认账单聚合计算，数据自动实时更新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7" w:id="17"/>
      <w:r>
        <w:rPr>
          <w:rFonts w:eastAsia="等线" w:ascii="Arial" w:cs="Arial" w:hAnsi="Arial"/>
          <w:b w:val="true"/>
          <w:sz w:val="32"/>
        </w:rPr>
        <w:t>七、权限控制</w:t>
      </w:r>
      <w:bookmarkEnd w:id="17"/>
    </w:p>
    <w:p>
      <w:pPr>
        <w:numPr>
          <w:numId w:val="5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卖家账号：仅可查看自身店铺结算、确认自身账单，</w:t>
      </w:r>
      <w:r>
        <w:rPr>
          <w:rFonts w:eastAsia="等线" w:ascii="Arial" w:cs="Arial" w:hAnsi="Arial"/>
          <w:b w:val="true"/>
          <w:sz w:val="22"/>
        </w:rPr>
        <w:t>看不到平台结算状态、看不到商店街结算菜单</w:t>
      </w:r>
    </w:p>
    <w:p>
      <w:pPr>
        <w:numPr>
          <w:numId w:val="5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运营账号：无财务结算权限</w:t>
      </w:r>
    </w:p>
    <w:p>
      <w:pPr>
        <w:numPr>
          <w:numId w:val="5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财务账号：可查看全店铺数据、批量操作结算状态、查看商店街对上结算汇总、导出财务报表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8" w:id="18"/>
      <w:r>
        <w:rPr>
          <w:rFonts w:eastAsia="等线" w:ascii="Arial" w:cs="Arial" w:hAnsi="Arial"/>
          <w:b w:val="true"/>
          <w:sz w:val="32"/>
        </w:rPr>
        <w:t>八、导出功能说明（财务端）</w:t>
      </w:r>
      <w:bookmarkEnd w:id="18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9" w:id="19"/>
      <w:r>
        <w:rPr>
          <w:rFonts w:eastAsia="等线" w:ascii="Arial" w:cs="Arial" w:hAnsi="Arial"/>
          <w:b w:val="true"/>
          <w:sz w:val="30"/>
        </w:rPr>
        <w:t>8.1 结算汇总管理导出</w:t>
      </w:r>
      <w:bookmarkEnd w:id="1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导出当期所有店铺明细对账数据，包含商家确认状态、平台结算状态。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0" w:id="20"/>
      <w:r>
        <w:rPr>
          <w:rFonts w:eastAsia="等线" w:ascii="Arial" w:cs="Arial" w:hAnsi="Arial"/>
          <w:b w:val="true"/>
          <w:sz w:val="30"/>
        </w:rPr>
        <w:t>8.2 商店街结算导出</w:t>
      </w:r>
      <w:bookmarkEnd w:id="2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导出对上总公司标准汇总报表：</w:t>
      </w:r>
    </w:p>
    <w:p>
      <w:pPr>
        <w:numPr>
          <w:numId w:val="5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全期次整体汇总数据</w:t>
      </w:r>
    </w:p>
    <w:p>
      <w:pPr>
        <w:numPr>
          <w:numId w:val="5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各店铺明细汇总数据</w:t>
        <w:br/>
      </w:r>
      <w:r>
        <w:rPr>
          <w:rFonts w:eastAsia="等线" w:ascii="Arial" w:cs="Arial" w:hAnsi="Arial"/>
          <w:sz w:val="22"/>
        </w:rPr>
        <w:t>用于平台对外提报结算。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1" w:id="21"/>
      <w:r>
        <w:rPr>
          <w:rFonts w:eastAsia="等线" w:ascii="Arial" w:cs="Arial" w:hAnsi="Arial"/>
          <w:b w:val="true"/>
          <w:sz w:val="32"/>
        </w:rPr>
        <w:t>九、状态定义说明</w:t>
      </w:r>
      <w:bookmarkEnd w:id="21"/>
    </w:p>
    <w:p>
      <w:pPr>
        <w:numPr>
          <w:numId w:val="5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卖家账单状态：未确认 / 已确认（商家侧行为）</w:t>
      </w:r>
    </w:p>
    <w:p>
      <w:pPr>
        <w:numPr>
          <w:numId w:val="6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平台结算状态：待结算 / 已结算（财务侧行为）</w:t>
      </w:r>
    </w:p>
    <w:p>
      <w:pPr>
        <w:numPr>
          <w:numId w:val="6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商店街整体状态：根据当期所有店铺结算状态自动判断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2" w:id="22"/>
      <w:r>
        <w:rPr>
          <w:rFonts w:eastAsia="等线" w:ascii="Arial" w:cs="Arial" w:hAnsi="Arial"/>
          <w:b w:val="true"/>
          <w:sz w:val="32"/>
        </w:rPr>
        <w:t>十、功能价值</w:t>
      </w:r>
      <w:bookmarkEnd w:id="22"/>
    </w:p>
    <w:p>
      <w:pPr>
        <w:numPr>
          <w:numId w:val="6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区分「平台对卖家结算」和「平台对总公司结算」双层结算体系</w:t>
      </w:r>
    </w:p>
    <w:p>
      <w:pPr>
        <w:numPr>
          <w:numId w:val="6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实现商家自审、平台审核、总代理对外结算三层闭环</w:t>
      </w:r>
    </w:p>
    <w:p>
      <w:pPr>
        <w:numPr>
          <w:numId w:val="6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财务可批量管理全平台结算进度，大幅提升对账效率</w:t>
      </w:r>
    </w:p>
    <w:p>
      <w:pPr>
        <w:numPr>
          <w:numId w:val="6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统一对上结算口径，杜绝金额统计偏差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644196">
    <w:lvl>
      <w:start w:val="1"/>
      <w:numFmt w:val="decimal"/>
      <w:suff w:val="tab"/>
      <w:lvlText w:val="%1."/>
      <w:rPr>
        <w:color w:val="3370ff"/>
      </w:rPr>
    </w:lvl>
  </w:abstractNum>
  <w:abstractNum w:abstractNumId="644197">
    <w:lvl>
      <w:start w:val="2"/>
      <w:numFmt w:val="decimal"/>
      <w:suff w:val="tab"/>
      <w:lvlText w:val="%1."/>
      <w:rPr>
        <w:color w:val="3370ff"/>
      </w:rPr>
    </w:lvl>
  </w:abstractNum>
  <w:abstractNum w:abstractNumId="644198">
    <w:lvl>
      <w:start w:val="3"/>
      <w:numFmt w:val="decimal"/>
      <w:suff w:val="tab"/>
      <w:lvlText w:val="%1."/>
      <w:rPr>
        <w:color w:val="3370ff"/>
      </w:rPr>
    </w:lvl>
  </w:abstractNum>
  <w:abstractNum w:abstractNumId="644199">
    <w:lvl>
      <w:start w:val="4"/>
      <w:numFmt w:val="decimal"/>
      <w:suff w:val="tab"/>
      <w:lvlText w:val="%1."/>
      <w:rPr>
        <w:color w:val="3370ff"/>
      </w:rPr>
    </w:lvl>
  </w:abstractNum>
  <w:abstractNum w:abstractNumId="644200">
    <w:lvl>
      <w:start w:val="1"/>
      <w:numFmt w:val="decimal"/>
      <w:suff w:val="tab"/>
      <w:lvlText w:val="%1."/>
      <w:rPr>
        <w:color w:val="3370ff"/>
      </w:rPr>
    </w:lvl>
  </w:abstractNum>
  <w:abstractNum w:abstractNumId="644201">
    <w:lvl>
      <w:start w:val="2"/>
      <w:numFmt w:val="decimal"/>
      <w:suff w:val="tab"/>
      <w:lvlText w:val="%1."/>
      <w:rPr>
        <w:color w:val="3370ff"/>
      </w:rPr>
    </w:lvl>
  </w:abstractNum>
  <w:abstractNum w:abstractNumId="644202">
    <w:lvl>
      <w:start w:val="3"/>
      <w:numFmt w:val="decimal"/>
      <w:suff w:val="tab"/>
      <w:lvlText w:val="%1."/>
      <w:rPr>
        <w:color w:val="3370ff"/>
      </w:rPr>
    </w:lvl>
  </w:abstractNum>
  <w:abstractNum w:abstractNumId="644203">
    <w:lvl>
      <w:start w:val="1"/>
      <w:numFmt w:val="decimal"/>
      <w:suff w:val="tab"/>
      <w:lvlText w:val="%1."/>
      <w:rPr>
        <w:color w:val="3370ff"/>
      </w:rPr>
    </w:lvl>
  </w:abstractNum>
  <w:abstractNum w:abstractNumId="644204">
    <w:lvl>
      <w:start w:val="2"/>
      <w:numFmt w:val="decimal"/>
      <w:suff w:val="tab"/>
      <w:lvlText w:val="%1."/>
      <w:rPr>
        <w:color w:val="3370ff"/>
      </w:rPr>
    </w:lvl>
  </w:abstractNum>
  <w:abstractNum w:abstractNumId="644205">
    <w:lvl>
      <w:start w:val="1"/>
      <w:numFmt w:val="decimal"/>
      <w:suff w:val="tab"/>
      <w:lvlText w:val="%1."/>
      <w:rPr>
        <w:color w:val="3370ff"/>
      </w:rPr>
    </w:lvl>
  </w:abstractNum>
  <w:abstractNum w:abstractNumId="644206">
    <w:lvl>
      <w:start w:val="2"/>
      <w:numFmt w:val="decimal"/>
      <w:suff w:val="tab"/>
      <w:lvlText w:val="%1."/>
      <w:rPr>
        <w:color w:val="3370ff"/>
      </w:rPr>
    </w:lvl>
  </w:abstractNum>
  <w:abstractNum w:abstractNumId="644207">
    <w:lvl>
      <w:numFmt w:val="bullet"/>
      <w:suff w:val="tab"/>
      <w:lvlText w:val="•"/>
      <w:rPr>
        <w:color w:val="3370ff"/>
      </w:rPr>
    </w:lvl>
  </w:abstractNum>
  <w:abstractNum w:abstractNumId="644208">
    <w:lvl>
      <w:numFmt w:val="bullet"/>
      <w:suff w:val="tab"/>
      <w:lvlText w:val="•"/>
      <w:rPr>
        <w:color w:val="3370ff"/>
      </w:rPr>
    </w:lvl>
  </w:abstractNum>
  <w:abstractNum w:abstractNumId="644209">
    <w:lvl>
      <w:numFmt w:val="bullet"/>
      <w:suff w:val="tab"/>
      <w:lvlText w:val="•"/>
      <w:rPr>
        <w:color w:val="3370ff"/>
      </w:rPr>
    </w:lvl>
  </w:abstractNum>
  <w:abstractNum w:abstractNumId="644210">
    <w:lvl>
      <w:numFmt w:val="bullet"/>
      <w:suff w:val="tab"/>
      <w:lvlText w:val="•"/>
      <w:rPr>
        <w:color w:val="3370ff"/>
      </w:rPr>
    </w:lvl>
  </w:abstractNum>
  <w:abstractNum w:abstractNumId="644211">
    <w:lvl>
      <w:numFmt w:val="bullet"/>
      <w:suff w:val="tab"/>
      <w:lvlText w:val="•"/>
      <w:rPr>
        <w:color w:val="3370ff"/>
      </w:rPr>
    </w:lvl>
  </w:abstractNum>
  <w:abstractNum w:abstractNumId="644212">
    <w:lvl>
      <w:numFmt w:val="bullet"/>
      <w:suff w:val="tab"/>
      <w:lvlText w:val="•"/>
      <w:rPr>
        <w:color w:val="3370ff"/>
      </w:rPr>
    </w:lvl>
  </w:abstractNum>
  <w:abstractNum w:abstractNumId="644213">
    <w:lvl>
      <w:numFmt w:val="bullet"/>
      <w:suff w:val="tab"/>
      <w:lvlText w:val="•"/>
      <w:rPr>
        <w:color w:val="3370ff"/>
      </w:rPr>
    </w:lvl>
  </w:abstractNum>
  <w:abstractNum w:abstractNumId="644214">
    <w:lvl>
      <w:numFmt w:val="bullet"/>
      <w:suff w:val="tab"/>
      <w:lvlText w:val="•"/>
      <w:rPr>
        <w:color w:val="3370ff"/>
      </w:rPr>
    </w:lvl>
  </w:abstractNum>
  <w:abstractNum w:abstractNumId="644215">
    <w:lvl>
      <w:numFmt w:val="bullet"/>
      <w:suff w:val="tab"/>
      <w:lvlText w:val="•"/>
      <w:rPr>
        <w:color w:val="3370ff"/>
      </w:rPr>
    </w:lvl>
  </w:abstractNum>
  <w:abstractNum w:abstractNumId="644216">
    <w:lvl>
      <w:numFmt w:val="bullet"/>
      <w:suff w:val="tab"/>
      <w:lvlText w:val="•"/>
      <w:rPr>
        <w:color w:val="3370ff"/>
      </w:rPr>
    </w:lvl>
  </w:abstractNum>
  <w:abstractNum w:abstractNumId="644217">
    <w:lvl>
      <w:numFmt w:val="bullet"/>
      <w:suff w:val="tab"/>
      <w:lvlText w:val="•"/>
      <w:rPr>
        <w:color w:val="3370ff"/>
      </w:rPr>
    </w:lvl>
  </w:abstractNum>
  <w:abstractNum w:abstractNumId="644218">
    <w:lvl>
      <w:numFmt w:val="bullet"/>
      <w:suff w:val="tab"/>
      <w:lvlText w:val="•"/>
      <w:rPr>
        <w:color w:val="3370ff"/>
      </w:rPr>
    </w:lvl>
  </w:abstractNum>
  <w:abstractNum w:abstractNumId="644219">
    <w:lvl>
      <w:numFmt w:val="bullet"/>
      <w:suff w:val="tab"/>
      <w:lvlText w:val="•"/>
      <w:rPr>
        <w:color w:val="3370ff"/>
      </w:rPr>
    </w:lvl>
  </w:abstractNum>
  <w:abstractNum w:abstractNumId="644220">
    <w:lvl>
      <w:numFmt w:val="bullet"/>
      <w:suff w:val="tab"/>
      <w:lvlText w:val="•"/>
      <w:rPr>
        <w:color w:val="3370ff"/>
      </w:rPr>
    </w:lvl>
  </w:abstractNum>
  <w:abstractNum w:abstractNumId="644221">
    <w:lvl>
      <w:start w:val="1"/>
      <w:numFmt w:val="decimal"/>
      <w:suff w:val="tab"/>
      <w:lvlText w:val="%1."/>
      <w:rPr>
        <w:color w:val="3370ff"/>
      </w:rPr>
    </w:lvl>
  </w:abstractNum>
  <w:abstractNum w:abstractNumId="644222">
    <w:lvl>
      <w:numFmt w:val="bullet"/>
      <w:suff w:val="tab"/>
      <w:lvlText w:val="•"/>
      <w:rPr>
        <w:color w:val="3370ff"/>
      </w:rPr>
    </w:lvl>
  </w:abstractNum>
  <w:abstractNum w:abstractNumId="644223">
    <w:lvl>
      <w:numFmt w:val="bullet"/>
      <w:suff w:val="tab"/>
      <w:lvlText w:val="•"/>
      <w:rPr>
        <w:color w:val="3370ff"/>
      </w:rPr>
    </w:lvl>
  </w:abstractNum>
  <w:abstractNum w:abstractNumId="644224">
    <w:lvl>
      <w:numFmt w:val="bullet"/>
      <w:suff w:val="tab"/>
      <w:lvlText w:val="•"/>
      <w:rPr>
        <w:color w:val="3370ff"/>
      </w:rPr>
    </w:lvl>
  </w:abstractNum>
  <w:abstractNum w:abstractNumId="644225">
    <w:lvl>
      <w:start w:val="2"/>
      <w:numFmt w:val="decimal"/>
      <w:suff w:val="tab"/>
      <w:lvlText w:val="%1."/>
      <w:rPr>
        <w:color w:val="3370ff"/>
      </w:rPr>
    </w:lvl>
  </w:abstractNum>
  <w:abstractNum w:abstractNumId="644226">
    <w:lvl>
      <w:numFmt w:val="bullet"/>
      <w:suff w:val="tab"/>
      <w:lvlText w:val="•"/>
      <w:rPr>
        <w:color w:val="3370ff"/>
      </w:rPr>
    </w:lvl>
  </w:abstractNum>
  <w:abstractNum w:abstractNumId="644227">
    <w:lvl>
      <w:start w:val="1"/>
      <w:numFmt w:val="decimal"/>
      <w:suff w:val="tab"/>
      <w:lvlText w:val="%1."/>
      <w:rPr>
        <w:color w:val="3370ff"/>
      </w:rPr>
    </w:lvl>
  </w:abstractNum>
  <w:abstractNum w:abstractNumId="644228">
    <w:lvl>
      <w:start w:val="2"/>
      <w:numFmt w:val="decimal"/>
      <w:suff w:val="tab"/>
      <w:lvlText w:val="%1."/>
      <w:rPr>
        <w:color w:val="3370ff"/>
      </w:rPr>
    </w:lvl>
  </w:abstractNum>
  <w:abstractNum w:abstractNumId="644229">
    <w:lvl>
      <w:start w:val="3"/>
      <w:numFmt w:val="decimal"/>
      <w:suff w:val="tab"/>
      <w:lvlText w:val="%1."/>
      <w:rPr>
        <w:color w:val="3370ff"/>
      </w:rPr>
    </w:lvl>
  </w:abstractNum>
  <w:abstractNum w:abstractNumId="644230">
    <w:lvl>
      <w:numFmt w:val="bullet"/>
      <w:suff w:val="tab"/>
      <w:lvlText w:val="•"/>
      <w:rPr>
        <w:color w:val="3370ff"/>
      </w:rPr>
    </w:lvl>
  </w:abstractNum>
  <w:abstractNum w:abstractNumId="644231">
    <w:lvl>
      <w:numFmt w:val="bullet"/>
      <w:suff w:val="tab"/>
      <w:lvlText w:val="•"/>
      <w:rPr>
        <w:color w:val="3370ff"/>
      </w:rPr>
    </w:lvl>
  </w:abstractNum>
  <w:abstractNum w:abstractNumId="644232">
    <w:lvl>
      <w:numFmt w:val="bullet"/>
      <w:suff w:val="tab"/>
      <w:lvlText w:val="•"/>
      <w:rPr>
        <w:color w:val="3370ff"/>
      </w:rPr>
    </w:lvl>
  </w:abstractNum>
  <w:abstractNum w:abstractNumId="644233">
    <w:lvl>
      <w:numFmt w:val="bullet"/>
      <w:suff w:val="tab"/>
      <w:lvlText w:val="•"/>
      <w:rPr>
        <w:color w:val="3370ff"/>
      </w:rPr>
    </w:lvl>
  </w:abstractNum>
  <w:abstractNum w:abstractNumId="644234">
    <w:lvl>
      <w:numFmt w:val="bullet"/>
      <w:suff w:val="tab"/>
      <w:lvlText w:val="•"/>
      <w:rPr>
        <w:color w:val="3370ff"/>
      </w:rPr>
    </w:lvl>
  </w:abstractNum>
  <w:abstractNum w:abstractNumId="644235">
    <w:lvl>
      <w:numFmt w:val="bullet"/>
      <w:suff w:val="tab"/>
      <w:lvlText w:val="•"/>
      <w:rPr>
        <w:color w:val="3370ff"/>
      </w:rPr>
    </w:lvl>
  </w:abstractNum>
  <w:abstractNum w:abstractNumId="644236">
    <w:lvl>
      <w:numFmt w:val="bullet"/>
      <w:suff w:val="tab"/>
      <w:lvlText w:val="•"/>
      <w:rPr>
        <w:color w:val="3370ff"/>
      </w:rPr>
    </w:lvl>
  </w:abstractNum>
  <w:abstractNum w:abstractNumId="644237">
    <w:lvl>
      <w:numFmt w:val="bullet"/>
      <w:suff w:val="tab"/>
      <w:lvlText w:val="•"/>
      <w:rPr>
        <w:color w:val="3370ff"/>
      </w:rPr>
    </w:lvl>
  </w:abstractNum>
  <w:abstractNum w:abstractNumId="644238">
    <w:lvl>
      <w:numFmt w:val="bullet"/>
      <w:suff w:val="tab"/>
      <w:lvlText w:val="•"/>
      <w:rPr>
        <w:color w:val="3370ff"/>
      </w:rPr>
    </w:lvl>
  </w:abstractNum>
  <w:abstractNum w:abstractNumId="644239">
    <w:lvl>
      <w:numFmt w:val="bullet"/>
      <w:suff w:val="tab"/>
      <w:lvlText w:val="•"/>
      <w:rPr>
        <w:color w:val="3370ff"/>
      </w:rPr>
    </w:lvl>
  </w:abstractNum>
  <w:abstractNum w:abstractNumId="644240">
    <w:lvl>
      <w:numFmt w:val="bullet"/>
      <w:suff w:val="tab"/>
      <w:lvlText w:val="•"/>
      <w:rPr>
        <w:color w:val="3370ff"/>
      </w:rPr>
    </w:lvl>
  </w:abstractNum>
  <w:abstractNum w:abstractNumId="644241">
    <w:lvl>
      <w:numFmt w:val="bullet"/>
      <w:suff w:val="tab"/>
      <w:lvlText w:val="•"/>
      <w:rPr>
        <w:color w:val="3370ff"/>
      </w:rPr>
    </w:lvl>
  </w:abstractNum>
  <w:abstractNum w:abstractNumId="644242">
    <w:lvl>
      <w:numFmt w:val="bullet"/>
      <w:suff w:val="tab"/>
      <w:lvlText w:val="•"/>
      <w:rPr>
        <w:color w:val="3370ff"/>
      </w:rPr>
    </w:lvl>
  </w:abstractNum>
  <w:abstractNum w:abstractNumId="644243">
    <w:lvl>
      <w:numFmt w:val="bullet"/>
      <w:suff w:val="tab"/>
      <w:lvlText w:val="•"/>
      <w:rPr>
        <w:color w:val="3370ff"/>
      </w:rPr>
    </w:lvl>
  </w:abstractNum>
  <w:abstractNum w:abstractNumId="644244">
    <w:lvl>
      <w:numFmt w:val="bullet"/>
      <w:suff w:val="tab"/>
      <w:lvlText w:val="•"/>
      <w:rPr>
        <w:color w:val="3370ff"/>
      </w:rPr>
    </w:lvl>
  </w:abstractNum>
  <w:abstractNum w:abstractNumId="644245">
    <w:lvl>
      <w:start w:val="1"/>
      <w:numFmt w:val="decimal"/>
      <w:suff w:val="tab"/>
      <w:lvlText w:val="%1."/>
      <w:rPr>
        <w:color w:val="3370ff"/>
      </w:rPr>
    </w:lvl>
  </w:abstractNum>
  <w:abstractNum w:abstractNumId="644246">
    <w:lvl>
      <w:start w:val="2"/>
      <w:numFmt w:val="decimal"/>
      <w:suff w:val="tab"/>
      <w:lvlText w:val="%1."/>
      <w:rPr>
        <w:color w:val="3370ff"/>
      </w:rPr>
    </w:lvl>
  </w:abstractNum>
  <w:abstractNum w:abstractNumId="644247">
    <w:lvl>
      <w:start w:val="3"/>
      <w:numFmt w:val="decimal"/>
      <w:suff w:val="tab"/>
      <w:lvlText w:val="%1."/>
      <w:rPr>
        <w:color w:val="3370ff"/>
      </w:rPr>
    </w:lvl>
  </w:abstractNum>
  <w:abstractNum w:abstractNumId="644248">
    <w:lvl>
      <w:start w:val="4"/>
      <w:numFmt w:val="decimal"/>
      <w:suff w:val="tab"/>
      <w:lvlText w:val="%1."/>
      <w:rPr>
        <w:color w:val="3370ff"/>
      </w:rPr>
    </w:lvl>
  </w:abstractNum>
  <w:abstractNum w:abstractNumId="644249">
    <w:lvl>
      <w:start w:val="1"/>
      <w:numFmt w:val="decimal"/>
      <w:suff w:val="tab"/>
      <w:lvlText w:val="%1."/>
      <w:rPr>
        <w:color w:val="3370ff"/>
      </w:rPr>
    </w:lvl>
  </w:abstractNum>
  <w:abstractNum w:abstractNumId="644250">
    <w:lvl>
      <w:start w:val="2"/>
      <w:numFmt w:val="decimal"/>
      <w:suff w:val="tab"/>
      <w:lvlText w:val="%1."/>
      <w:rPr>
        <w:color w:val="3370ff"/>
      </w:rPr>
    </w:lvl>
  </w:abstractNum>
  <w:abstractNum w:abstractNumId="644251">
    <w:lvl>
      <w:start w:val="3"/>
      <w:numFmt w:val="decimal"/>
      <w:suff w:val="tab"/>
      <w:lvlText w:val="%1."/>
      <w:rPr>
        <w:color w:val="3370ff"/>
      </w:rPr>
    </w:lvl>
  </w:abstractNum>
  <w:abstractNum w:abstractNumId="644252">
    <w:lvl>
      <w:start w:val="1"/>
      <w:numFmt w:val="decimal"/>
      <w:suff w:val="tab"/>
      <w:lvlText w:val="%1."/>
      <w:rPr>
        <w:color w:val="3370ff"/>
      </w:rPr>
    </w:lvl>
  </w:abstractNum>
  <w:abstractNum w:abstractNumId="644253">
    <w:lvl>
      <w:start w:val="2"/>
      <w:numFmt w:val="decimal"/>
      <w:suff w:val="tab"/>
      <w:lvlText w:val="%1."/>
      <w:rPr>
        <w:color w:val="3370ff"/>
      </w:rPr>
    </w:lvl>
  </w:abstractNum>
  <w:abstractNum w:abstractNumId="644254">
    <w:lvl>
      <w:start w:val="1"/>
      <w:numFmt w:val="decimal"/>
      <w:suff w:val="tab"/>
      <w:lvlText w:val="%1."/>
      <w:rPr>
        <w:color w:val="3370ff"/>
      </w:rPr>
    </w:lvl>
  </w:abstractNum>
  <w:abstractNum w:abstractNumId="644255">
    <w:lvl>
      <w:start w:val="2"/>
      <w:numFmt w:val="decimal"/>
      <w:suff w:val="tab"/>
      <w:lvlText w:val="%1."/>
      <w:rPr>
        <w:color w:val="3370ff"/>
      </w:rPr>
    </w:lvl>
  </w:abstractNum>
  <w:abstractNum w:abstractNumId="644256">
    <w:lvl>
      <w:start w:val="3"/>
      <w:numFmt w:val="decimal"/>
      <w:suff w:val="tab"/>
      <w:lvlText w:val="%1."/>
      <w:rPr>
        <w:color w:val="3370ff"/>
      </w:rPr>
    </w:lvl>
  </w:abstractNum>
  <w:abstractNum w:abstractNumId="644257">
    <w:lvl>
      <w:start w:val="1"/>
      <w:numFmt w:val="decimal"/>
      <w:suff w:val="tab"/>
      <w:lvlText w:val="%1."/>
      <w:rPr>
        <w:color w:val="3370ff"/>
      </w:rPr>
    </w:lvl>
  </w:abstractNum>
  <w:abstractNum w:abstractNumId="644258">
    <w:lvl>
      <w:start w:val="2"/>
      <w:numFmt w:val="decimal"/>
      <w:suff w:val="tab"/>
      <w:lvlText w:val="%1."/>
      <w:rPr>
        <w:color w:val="3370ff"/>
      </w:rPr>
    </w:lvl>
  </w:abstractNum>
  <w:abstractNum w:abstractNumId="644259">
    <w:lvl>
      <w:start w:val="3"/>
      <w:numFmt w:val="decimal"/>
      <w:suff w:val="tab"/>
      <w:lvlText w:val="%1."/>
      <w:rPr>
        <w:color w:val="3370ff"/>
      </w:rPr>
    </w:lvl>
  </w:abstractNum>
  <w:abstractNum w:abstractNumId="644260">
    <w:lvl>
      <w:start w:val="4"/>
      <w:numFmt w:val="decimal"/>
      <w:suff w:val="tab"/>
      <w:lvlText w:val="%1."/>
      <w:rPr>
        <w:color w:val="3370ff"/>
      </w:rPr>
    </w:lvl>
  </w:abstractNum>
  <w:num w:numId="1">
    <w:abstractNumId w:val="644196"/>
  </w:num>
  <w:num w:numId="2">
    <w:abstractNumId w:val="644197"/>
  </w:num>
  <w:num w:numId="3">
    <w:abstractNumId w:val="644198"/>
  </w:num>
  <w:num w:numId="4">
    <w:abstractNumId w:val="644199"/>
  </w:num>
  <w:num w:numId="5">
    <w:abstractNumId w:val="644200"/>
  </w:num>
  <w:num w:numId="6">
    <w:abstractNumId w:val="644201"/>
  </w:num>
  <w:num w:numId="7">
    <w:abstractNumId w:val="644202"/>
  </w:num>
  <w:num w:numId="8">
    <w:abstractNumId w:val="644203"/>
  </w:num>
  <w:num w:numId="9">
    <w:abstractNumId w:val="644204"/>
  </w:num>
  <w:num w:numId="10">
    <w:abstractNumId w:val="644205"/>
  </w:num>
  <w:num w:numId="11">
    <w:abstractNumId w:val="644206"/>
  </w:num>
  <w:num w:numId="12">
    <w:abstractNumId w:val="644207"/>
  </w:num>
  <w:num w:numId="13">
    <w:abstractNumId w:val="644208"/>
  </w:num>
  <w:num w:numId="14">
    <w:abstractNumId w:val="644209"/>
  </w:num>
  <w:num w:numId="15">
    <w:abstractNumId w:val="644210"/>
  </w:num>
  <w:num w:numId="16">
    <w:abstractNumId w:val="644211"/>
  </w:num>
  <w:num w:numId="17">
    <w:abstractNumId w:val="644212"/>
  </w:num>
  <w:num w:numId="18">
    <w:abstractNumId w:val="644213"/>
  </w:num>
  <w:num w:numId="19">
    <w:abstractNumId w:val="644214"/>
  </w:num>
  <w:num w:numId="20">
    <w:abstractNumId w:val="644215"/>
  </w:num>
  <w:num w:numId="21">
    <w:abstractNumId w:val="644216"/>
  </w:num>
  <w:num w:numId="22">
    <w:abstractNumId w:val="644217"/>
  </w:num>
  <w:num w:numId="23">
    <w:abstractNumId w:val="644218"/>
  </w:num>
  <w:num w:numId="24">
    <w:abstractNumId w:val="644219"/>
  </w:num>
  <w:num w:numId="25">
    <w:abstractNumId w:val="644220"/>
  </w:num>
  <w:num w:numId="26">
    <w:abstractNumId w:val="644221"/>
  </w:num>
  <w:num w:numId="27">
    <w:abstractNumId w:val="644222"/>
  </w:num>
  <w:num w:numId="28">
    <w:abstractNumId w:val="644223"/>
  </w:num>
  <w:num w:numId="29">
    <w:abstractNumId w:val="644224"/>
  </w:num>
  <w:num w:numId="30">
    <w:abstractNumId w:val="644225"/>
  </w:num>
  <w:num w:numId="31">
    <w:abstractNumId w:val="644226"/>
  </w:num>
  <w:num w:numId="32">
    <w:abstractNumId w:val="644227"/>
  </w:num>
  <w:num w:numId="33">
    <w:abstractNumId w:val="644228"/>
  </w:num>
  <w:num w:numId="34">
    <w:abstractNumId w:val="644229"/>
  </w:num>
  <w:num w:numId="35">
    <w:abstractNumId w:val="644230"/>
  </w:num>
  <w:num w:numId="36">
    <w:abstractNumId w:val="644231"/>
  </w:num>
  <w:num w:numId="37">
    <w:abstractNumId w:val="644232"/>
  </w:num>
  <w:num w:numId="38">
    <w:abstractNumId w:val="644233"/>
  </w:num>
  <w:num w:numId="39">
    <w:abstractNumId w:val="644234"/>
  </w:num>
  <w:num w:numId="40">
    <w:abstractNumId w:val="644235"/>
  </w:num>
  <w:num w:numId="41">
    <w:abstractNumId w:val="644236"/>
  </w:num>
  <w:num w:numId="42">
    <w:abstractNumId w:val="644237"/>
  </w:num>
  <w:num w:numId="43">
    <w:abstractNumId w:val="644238"/>
  </w:num>
  <w:num w:numId="44">
    <w:abstractNumId w:val="644239"/>
  </w:num>
  <w:num w:numId="45">
    <w:abstractNumId w:val="644240"/>
  </w:num>
  <w:num w:numId="46">
    <w:abstractNumId w:val="644241"/>
  </w:num>
  <w:num w:numId="47">
    <w:abstractNumId w:val="644242"/>
  </w:num>
  <w:num w:numId="48">
    <w:abstractNumId w:val="644243"/>
  </w:num>
  <w:num w:numId="49">
    <w:abstractNumId w:val="644244"/>
  </w:num>
  <w:num w:numId="50">
    <w:abstractNumId w:val="644245"/>
  </w:num>
  <w:num w:numId="51">
    <w:abstractNumId w:val="644246"/>
  </w:num>
  <w:num w:numId="52">
    <w:abstractNumId w:val="644247"/>
  </w:num>
  <w:num w:numId="53">
    <w:abstractNumId w:val="644248"/>
  </w:num>
  <w:num w:numId="54">
    <w:abstractNumId w:val="644249"/>
  </w:num>
  <w:num w:numId="55">
    <w:abstractNumId w:val="644250"/>
  </w:num>
  <w:num w:numId="56">
    <w:abstractNumId w:val="644251"/>
  </w:num>
  <w:num w:numId="57">
    <w:abstractNumId w:val="644252"/>
  </w:num>
  <w:num w:numId="58">
    <w:abstractNumId w:val="644253"/>
  </w:num>
  <w:num w:numId="59">
    <w:abstractNumId w:val="644254"/>
  </w:num>
  <w:num w:numId="60">
    <w:abstractNumId w:val="644255"/>
  </w:num>
  <w:num w:numId="61">
    <w:abstractNumId w:val="644256"/>
  </w:num>
  <w:num w:numId="62">
    <w:abstractNumId w:val="644257"/>
  </w:num>
  <w:num w:numId="63">
    <w:abstractNumId w:val="644258"/>
  </w:num>
  <w:num w:numId="64">
    <w:abstractNumId w:val="644259"/>
  </w:num>
  <w:num w:numId="65">
    <w:abstractNumId w:val="64426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2026-08-16T01:27:41Z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{"Label":"1","ContentProducer":"001191110102MACQD9K64010000","ProduceID":"7674435016277036294","ReservedCode1":"","ContentPropagator":"","PropagateID":"","ReservedCode2":""}</vt:lpwstr>
  </property>
</Properties>
</file>